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Исполняющему обязанности </w:t>
      </w:r>
    </w:p>
    <w:p w14:paraId="02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начальника управления </w:t>
      </w:r>
    </w:p>
    <w:p w14:paraId="03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</w:t>
      </w:r>
      <w:r>
        <w:rPr>
          <w:sz w:val="28"/>
        </w:rPr>
        <w:t xml:space="preserve">                </w:t>
      </w:r>
      <w:r>
        <w:rPr>
          <w:sz w:val="28"/>
        </w:rPr>
        <w:t xml:space="preserve">        </w:t>
      </w:r>
      <w:r>
        <w:rPr>
          <w:sz w:val="28"/>
        </w:rPr>
        <w:t xml:space="preserve">архитектуры и градостроительства </w:t>
      </w:r>
    </w:p>
    <w:p w14:paraId="04000000">
      <w:pPr>
        <w:ind w:right="-284"/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администрации муниципального </w:t>
      </w:r>
    </w:p>
    <w:p w14:paraId="05000000">
      <w:pPr>
        <w:rPr>
          <w:sz w:val="28"/>
        </w:rPr>
      </w:pPr>
      <w:r>
        <w:rPr>
          <w:sz w:val="28"/>
        </w:rPr>
        <w:t xml:space="preserve">                                                                             </w:t>
      </w:r>
      <w:r>
        <w:rPr>
          <w:sz w:val="28"/>
        </w:rPr>
        <w:t xml:space="preserve">образования Выселковский район                                                                 </w:t>
      </w:r>
    </w:p>
    <w:p w14:paraId="06000000">
      <w:r>
        <w:rPr>
          <w:sz w:val="28"/>
        </w:rPr>
        <w:t xml:space="preserve">                                                                             В.</w:t>
      </w:r>
      <w:r>
        <w:rPr>
          <w:sz w:val="28"/>
        </w:rPr>
        <w:t>С. Галиулину</w:t>
      </w:r>
    </w:p>
    <w:p w14:paraId="07000000">
      <w:pPr>
        <w:pStyle w:val="Style_1"/>
        <w:spacing w:before="0"/>
        <w:ind/>
        <w:rPr>
          <w:b w:val="0"/>
          <w:spacing w:val="0"/>
        </w:rPr>
      </w:pPr>
    </w:p>
    <w:p w14:paraId="08000000"/>
    <w:p w14:paraId="09000000"/>
    <w:p w14:paraId="0A000000">
      <w:pPr>
        <w:pStyle w:val="Style_1"/>
        <w:spacing w:before="0"/>
        <w:ind/>
        <w:rPr>
          <w:b w:val="0"/>
          <w:spacing w:val="0"/>
        </w:rPr>
      </w:pPr>
      <w:r>
        <w:rPr>
          <w:b w:val="0"/>
          <w:spacing w:val="0"/>
        </w:rPr>
        <w:t>ЗАКЛЮЧЕНИЕ</w:t>
      </w:r>
      <w:r>
        <w:rPr>
          <w:b w:val="0"/>
          <w:spacing w:val="0"/>
        </w:rPr>
        <w:br/>
      </w:r>
      <w:r>
        <w:rPr>
          <w:b w:val="0"/>
          <w:spacing w:val="0"/>
        </w:rPr>
        <w:t>об оценке регулирующего воздействия</w:t>
      </w:r>
    </w:p>
    <w:p w14:paraId="0B000000">
      <w:pPr>
        <w:ind/>
        <w:jc w:val="center"/>
        <w:rPr>
          <w:sz w:val="28"/>
        </w:rPr>
      </w:pPr>
      <w:r>
        <w:rPr>
          <w:sz w:val="28"/>
        </w:rPr>
        <w:t xml:space="preserve">проекта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«Утверждение схемы расположения земельного участка или земел</w:t>
      </w:r>
      <w:r>
        <w:rPr>
          <w:sz w:val="28"/>
        </w:rPr>
        <w:t>ь</w:t>
      </w:r>
      <w:r>
        <w:rPr>
          <w:sz w:val="28"/>
        </w:rPr>
        <w:t>ных участков на кадастровом плане территории</w:t>
      </w:r>
      <w:r>
        <w:rPr>
          <w:sz w:val="28"/>
        </w:rPr>
        <w:t>»</w:t>
      </w:r>
      <w:r>
        <w:rPr>
          <w:sz w:val="28"/>
        </w:rPr>
        <w:t xml:space="preserve">           </w:t>
      </w:r>
    </w:p>
    <w:p w14:paraId="0C000000">
      <w:pPr>
        <w:ind/>
        <w:jc w:val="both"/>
        <w:rPr>
          <w:sz w:val="28"/>
        </w:rPr>
      </w:pPr>
    </w:p>
    <w:p w14:paraId="0D000000">
      <w:pPr>
        <w:ind/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</w:rPr>
        <w:t xml:space="preserve">      </w:t>
      </w:r>
      <w:r>
        <w:rPr>
          <w:sz w:val="28"/>
        </w:rPr>
        <w:t>Отделом экономического развития, инвестиций и малого бизнеса администрации муниципального образования Выселковский район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как уполномоченным органом по проведению оценки регулирующего воздействия проектов муниципальных нормативных правовых актов, устанавливающих новые или изменяющих ранее предусмо</w:t>
      </w:r>
      <w:r>
        <w:rPr>
          <w:sz w:val="28"/>
        </w:rPr>
        <w:t>т</w:t>
      </w:r>
      <w:r>
        <w:rPr>
          <w:sz w:val="28"/>
        </w:rPr>
        <w:t>ренные муниципальными нормативными правовыми актами обязательные тр</w:t>
      </w:r>
      <w:r>
        <w:rPr>
          <w:sz w:val="28"/>
        </w:rPr>
        <w:t>е</w:t>
      </w:r>
      <w:r>
        <w:rPr>
          <w:sz w:val="28"/>
        </w:rPr>
        <w:t>бования для субъектов предпринимательской и иной экономической деятельн</w:t>
      </w:r>
      <w:r>
        <w:rPr>
          <w:sz w:val="28"/>
        </w:rPr>
        <w:t>о</w:t>
      </w:r>
      <w:r>
        <w:rPr>
          <w:sz w:val="28"/>
        </w:rPr>
        <w:t>сти, обязанности для субъектов инвестицион</w:t>
      </w:r>
      <w:bookmarkStart w:id="1" w:name="_GoBack"/>
      <w:bookmarkEnd w:id="1"/>
      <w:r>
        <w:rPr>
          <w:sz w:val="28"/>
        </w:rPr>
        <w:t>ной деятельности (далее – Упо</w:t>
      </w:r>
      <w:r>
        <w:rPr>
          <w:sz w:val="28"/>
        </w:rPr>
        <w:t>л</w:t>
      </w:r>
      <w:r>
        <w:rPr>
          <w:sz w:val="28"/>
        </w:rPr>
        <w:t>номоченный орган)</w:t>
      </w:r>
      <w:r>
        <w:rPr>
          <w:sz w:val="28"/>
        </w:rPr>
        <w:t xml:space="preserve"> рассмотрен поступивший повторно 21</w:t>
      </w:r>
      <w:r>
        <w:rPr>
          <w:sz w:val="28"/>
        </w:rPr>
        <w:t xml:space="preserve"> июня</w:t>
      </w:r>
      <w:r>
        <w:rPr>
          <w:sz w:val="28"/>
        </w:rPr>
        <w:t xml:space="preserve"> </w:t>
      </w:r>
      <w:r>
        <w:rPr>
          <w:sz w:val="28"/>
        </w:rPr>
        <w:t>202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 xml:space="preserve">года проект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«Утверждение схемы расположения земельного участка или земел</w:t>
      </w:r>
      <w:r>
        <w:rPr>
          <w:sz w:val="28"/>
        </w:rPr>
        <w:t>ь</w:t>
      </w:r>
      <w:r>
        <w:rPr>
          <w:sz w:val="28"/>
        </w:rPr>
        <w:t xml:space="preserve">ных участков </w:t>
      </w:r>
      <w:r>
        <w:rPr>
          <w:sz w:val="28"/>
        </w:rPr>
        <w:t>на кадастровом плане территории</w:t>
      </w:r>
      <w:r>
        <w:rPr>
          <w:sz w:val="28"/>
        </w:rPr>
        <w:t>»</w:t>
      </w:r>
      <w:r>
        <w:rPr>
          <w:sz w:val="28"/>
        </w:rPr>
        <w:t xml:space="preserve"> </w:t>
      </w:r>
      <w:r>
        <w:rPr>
          <w:sz w:val="28"/>
        </w:rPr>
        <w:t xml:space="preserve"> (далее – Проект), направленный для подготовки настоящего Заключения </w:t>
      </w:r>
      <w:r>
        <w:rPr>
          <w:sz w:val="28"/>
        </w:rPr>
        <w:t>Управлением архитектуры и градостроительства администрации муниципального образования Выселковский район</w:t>
      </w:r>
      <w:r>
        <w:rPr>
          <w:sz w:val="28"/>
        </w:rPr>
        <w:t xml:space="preserve"> (далее – Разработчик), и сообщает следующее.</w:t>
      </w:r>
    </w:p>
    <w:p w14:paraId="0E000000">
      <w:pPr>
        <w:ind w:firstLine="708" w:left="0"/>
        <w:jc w:val="both"/>
        <w:rPr>
          <w:sz w:val="28"/>
        </w:rPr>
      </w:pPr>
      <w:r>
        <w:rPr>
          <w:sz w:val="28"/>
        </w:rPr>
        <w:t>В соответстви</w:t>
      </w:r>
      <w:r>
        <w:rPr>
          <w:sz w:val="28"/>
        </w:rPr>
        <w:t>е</w:t>
      </w:r>
      <w:r>
        <w:rPr>
          <w:sz w:val="28"/>
        </w:rPr>
        <w:t xml:space="preserve"> с Порядком проведения оценки регулирующего воздейс</w:t>
      </w:r>
      <w:r>
        <w:rPr>
          <w:sz w:val="28"/>
        </w:rPr>
        <w:t>т</w:t>
      </w:r>
      <w:r>
        <w:rPr>
          <w:sz w:val="28"/>
        </w:rPr>
        <w:t>вия проектов муниципальных нормативных правовых актов муниципального образования Выселковский рай</w:t>
      </w:r>
      <w:r>
        <w:rPr>
          <w:sz w:val="28"/>
        </w:rPr>
        <w:t>он, устанавливающих новые или изменяющих ранее предусмотренные муниципальными нормативными правовыми актами обязательные требования для субъектов предпринимательской и иной эконом</w:t>
      </w:r>
      <w:r>
        <w:rPr>
          <w:sz w:val="28"/>
        </w:rPr>
        <w:t>и</w:t>
      </w:r>
      <w:r>
        <w:rPr>
          <w:sz w:val="28"/>
        </w:rPr>
        <w:t>ческой деятельности, обязанности для субъектов инвестиционной деятельн</w:t>
      </w:r>
      <w:r>
        <w:rPr>
          <w:sz w:val="28"/>
        </w:rPr>
        <w:t>о</w:t>
      </w:r>
      <w:r>
        <w:rPr>
          <w:sz w:val="28"/>
        </w:rPr>
        <w:t>сти, утвержденным постановлением администрации муни</w:t>
      </w:r>
      <w:r>
        <w:rPr>
          <w:sz w:val="28"/>
        </w:rPr>
        <w:t>ципального образов</w:t>
      </w:r>
      <w:r>
        <w:rPr>
          <w:sz w:val="28"/>
        </w:rPr>
        <w:t>а</w:t>
      </w:r>
      <w:r>
        <w:rPr>
          <w:sz w:val="28"/>
        </w:rPr>
        <w:t xml:space="preserve">ния Выселковский район от 04 марта </w:t>
      </w:r>
      <w:r>
        <w:rPr>
          <w:sz w:val="28"/>
        </w:rPr>
        <w:t>2022 г</w:t>
      </w:r>
      <w:r>
        <w:rPr>
          <w:sz w:val="28"/>
        </w:rPr>
        <w:t>. № 162 (далее – Порядок) пр</w:t>
      </w:r>
      <w:r>
        <w:rPr>
          <w:sz w:val="28"/>
        </w:rPr>
        <w:t>о</w:t>
      </w:r>
      <w:r>
        <w:rPr>
          <w:sz w:val="28"/>
        </w:rPr>
        <w:t>ект подлежит проведению оценки регулирующего воздействия.</w:t>
      </w:r>
    </w:p>
    <w:p w14:paraId="0F000000">
      <w:pPr>
        <w:ind/>
        <w:jc w:val="both"/>
        <w:rPr>
          <w:sz w:val="28"/>
        </w:rPr>
      </w:pPr>
      <w:r>
        <w:rPr>
          <w:sz w:val="28"/>
        </w:rPr>
        <w:t xml:space="preserve">           Проект содержит положения, имеющие </w:t>
      </w:r>
      <w:r>
        <w:rPr>
          <w:sz w:val="28"/>
        </w:rPr>
        <w:t>высокую</w:t>
      </w:r>
      <w:r>
        <w:rPr>
          <w:sz w:val="28"/>
        </w:rPr>
        <w:t xml:space="preserve"> степень регулирующего воздействия.</w:t>
      </w:r>
    </w:p>
    <w:p w14:paraId="10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1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Проект направлен разработчиком для проведения оценки регулирующего воздействия повторно, после устранения замечаний, отраженных уполномоченным органом в отрицательном заключении от 09.02.2023 г.</w:t>
      </w:r>
    </w:p>
    <w:p w14:paraId="12000000">
      <w:pPr>
        <w:pStyle w:val="Style_3"/>
        <w:ind w:firstLine="54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правовым регулированием рассматриваемой сферы общественных отношений.</w:t>
      </w:r>
    </w:p>
    <w:p w14:paraId="13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Разработчиком предложен один вариант правового регулирования рассматриваемой сферы общественных отношений – принятие</w:t>
      </w:r>
      <w:r>
        <w:rPr>
          <w:sz w:val="28"/>
        </w:rPr>
        <w:t xml:space="preserve">                                                </w:t>
      </w:r>
      <w:r>
        <w:rPr>
          <w:sz w:val="28"/>
        </w:rPr>
        <w:t xml:space="preserve">    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«Утверждение схемы расположения земельного участка или земел</w:t>
      </w:r>
      <w:r>
        <w:rPr>
          <w:sz w:val="28"/>
        </w:rPr>
        <w:t>ь</w:t>
      </w:r>
      <w:r>
        <w:rPr>
          <w:sz w:val="28"/>
        </w:rPr>
        <w:t xml:space="preserve">ных участков </w:t>
      </w:r>
      <w:r>
        <w:rPr>
          <w:sz w:val="28"/>
        </w:rPr>
        <w:t>на кадастровом плане территории</w:t>
      </w:r>
      <w:r>
        <w:rPr>
          <w:sz w:val="28"/>
        </w:rPr>
        <w:t>»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14000000">
      <w:pPr>
        <w:ind/>
        <w:jc w:val="both"/>
        <w:rPr>
          <w:sz w:val="28"/>
        </w:rPr>
      </w:pPr>
      <w:r>
        <w:rPr>
          <w:color w:val="000000"/>
          <w:sz w:val="28"/>
        </w:rPr>
        <w:t xml:space="preserve">         В качестве альтернативного варианта правового регулирования разработчиком рассмотрен только один вариант – непринятие</w:t>
      </w:r>
      <w:r>
        <w:rPr>
          <w:sz w:val="28"/>
        </w:rPr>
        <w:t xml:space="preserve">                                                        </w:t>
      </w:r>
      <w:r>
        <w:rPr>
          <w:sz w:val="28"/>
        </w:rPr>
        <w:t xml:space="preserve">постановления администрации муниципального образования Выселковский район </w:t>
      </w:r>
      <w:r>
        <w:rPr>
          <w:sz w:val="28"/>
        </w:rPr>
        <w:t>«</w:t>
      </w:r>
      <w:r>
        <w:rPr>
          <w:sz w:val="28"/>
        </w:rPr>
        <w:t>Об утверждении административного регламента предоставления муниц</w:t>
      </w:r>
      <w:r>
        <w:rPr>
          <w:sz w:val="28"/>
        </w:rPr>
        <w:t>и</w:t>
      </w:r>
      <w:r>
        <w:rPr>
          <w:sz w:val="28"/>
        </w:rPr>
        <w:t>пальной услуги «Утверждение схемы расположения земельного участка или земел</w:t>
      </w:r>
      <w:r>
        <w:rPr>
          <w:sz w:val="28"/>
        </w:rPr>
        <w:t>ь</w:t>
      </w:r>
      <w:r>
        <w:rPr>
          <w:sz w:val="28"/>
        </w:rPr>
        <w:t xml:space="preserve">ных участков </w:t>
      </w:r>
      <w:r>
        <w:rPr>
          <w:sz w:val="28"/>
        </w:rPr>
        <w:t>на кадастровом плане территории</w:t>
      </w:r>
      <w:r>
        <w:rPr>
          <w:sz w:val="28"/>
        </w:rPr>
        <w:t>»</w:t>
      </w:r>
      <w:r>
        <w:rPr>
          <w:sz w:val="28"/>
        </w:rPr>
        <w:t>.</w:t>
      </w:r>
      <w:r>
        <w:rPr>
          <w:sz w:val="28"/>
        </w:rPr>
        <w:t xml:space="preserve"> </w:t>
      </w:r>
    </w:p>
    <w:p w14:paraId="15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</w:t>
      </w:r>
    </w:p>
    <w:p w14:paraId="16000000">
      <w:r>
        <w:tab/>
      </w:r>
      <w:r>
        <w:rPr>
          <w:sz w:val="28"/>
        </w:rPr>
        <w:t>Проведена оценка эффективности предлагаемого варианта правового р</w:t>
      </w:r>
      <w:r>
        <w:rPr>
          <w:sz w:val="28"/>
        </w:rPr>
        <w:t>е</w:t>
      </w:r>
      <w:r>
        <w:rPr>
          <w:sz w:val="28"/>
        </w:rPr>
        <w:t>гулирования, основанного на сведениях, содержащихся в соответствующих разделах сводного отчета, и установлено следующее:</w:t>
      </w:r>
    </w:p>
    <w:p w14:paraId="17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проблема, на решение которой направлено правовое регулирование, регулирующим органом сформулирована точно;</w:t>
      </w:r>
    </w:p>
    <w:p w14:paraId="18000000">
      <w:pPr>
        <w:pStyle w:val="Style_4"/>
        <w:ind/>
        <w:jc w:val="both"/>
        <w:rPr>
          <w:rFonts w:ascii="Times New Roman" w:hAnsi="Times New Roman"/>
          <w:sz w:val="28"/>
        </w:rPr>
      </w:pPr>
      <w:r>
        <w:t xml:space="preserve">    </w:t>
      </w:r>
      <w:r>
        <w:rPr>
          <w:rFonts w:ascii="Times New Roman" w:hAnsi="Times New Roman"/>
          <w:sz w:val="28"/>
        </w:rPr>
        <w:t xml:space="preserve">- определены потенциальные адресаты предлагаемого правового регулирования: </w:t>
      </w:r>
    </w:p>
    <w:p w14:paraId="19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физические и юридические лица, являющиеся зе</w:t>
      </w:r>
      <w:r>
        <w:rPr>
          <w:sz w:val="28"/>
        </w:rPr>
        <w:t>м</w:t>
      </w:r>
      <w:r>
        <w:rPr>
          <w:sz w:val="28"/>
        </w:rPr>
        <w:t>лепользователями, землевладельцами, арендаторами земельных участков и заинт</w:t>
      </w:r>
      <w:r>
        <w:rPr>
          <w:sz w:val="28"/>
        </w:rPr>
        <w:t>е</w:t>
      </w:r>
      <w:r>
        <w:rPr>
          <w:sz w:val="28"/>
        </w:rPr>
        <w:t>ресованные в образовании земельных участков из земель или земельных участков, указанных в пункте 1.1.2 подраздела 1.1 регламента, либо их представители, над</w:t>
      </w:r>
      <w:r>
        <w:rPr>
          <w:sz w:val="28"/>
        </w:rPr>
        <w:t>е</w:t>
      </w:r>
      <w:r>
        <w:rPr>
          <w:sz w:val="28"/>
        </w:rPr>
        <w:t>ленные соответствующими полномочиями</w:t>
      </w:r>
      <w:r>
        <w:rPr>
          <w:sz w:val="28"/>
        </w:rPr>
        <w:t xml:space="preserve">;  </w:t>
      </w:r>
    </w:p>
    <w:p w14:paraId="1A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- количественная оценка потенциальных адресатов правового регулирования –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не </w:t>
      </w:r>
      <w:r>
        <w:rPr>
          <w:rFonts w:ascii="Times New Roman" w:hAnsi="Times New Roman"/>
          <w:sz w:val="28"/>
        </w:rPr>
        <w:t>представляется возможным</w:t>
      </w:r>
      <w:r>
        <w:rPr>
          <w:rFonts w:ascii="Times New Roman" w:hAnsi="Times New Roman"/>
          <w:color w:val="000000"/>
          <w:sz w:val="28"/>
        </w:rPr>
        <w:t>;</w:t>
      </w:r>
    </w:p>
    <w:p w14:paraId="1B000000">
      <w:pPr>
        <w:pStyle w:val="Style_2"/>
        <w:ind w:firstLine="743" w:left="0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</w:t>
      </w:r>
      <w:r>
        <w:rPr>
          <w:rFonts w:ascii="Times New Roman" w:hAnsi="Times New Roman"/>
          <w:sz w:val="28"/>
        </w:rPr>
        <w:t>цель предлагаемого проектом правового регулирования определена об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ективно</w:t>
      </w:r>
      <w:r>
        <w:rPr>
          <w:rFonts w:ascii="Times New Roman" w:hAnsi="Times New Roman"/>
          <w:color w:val="000000"/>
          <w:sz w:val="28"/>
        </w:rPr>
        <w:t>;</w:t>
      </w:r>
    </w:p>
    <w:p w14:paraId="1C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- сроки достижения заявленных целей правового регулирования – с момента вступления в силу </w:t>
      </w:r>
      <w:r>
        <w:rPr>
          <w:rFonts w:ascii="Times New Roman" w:hAnsi="Times New Roman"/>
          <w:color w:val="000000"/>
          <w:sz w:val="28"/>
        </w:rPr>
        <w:t>постановления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со дня обнародования</w:t>
      </w:r>
      <w:r>
        <w:rPr>
          <w:rFonts w:ascii="Times New Roman" w:hAnsi="Times New Roman"/>
          <w:color w:val="000000"/>
          <w:sz w:val="28"/>
        </w:rPr>
        <w:t>)</w:t>
      </w:r>
      <w:r>
        <w:rPr>
          <w:rFonts w:ascii="Times New Roman" w:hAnsi="Times New Roman"/>
          <w:color w:val="000000"/>
          <w:sz w:val="28"/>
        </w:rPr>
        <w:t xml:space="preserve">, </w:t>
      </w:r>
      <w:r>
        <w:rPr>
          <w:rFonts w:ascii="Times New Roman" w:hAnsi="Times New Roman"/>
          <w:sz w:val="28"/>
        </w:rPr>
        <w:t>в связи с чем отсутствует необходимость в последующем мониторинге достижения целей;</w:t>
      </w:r>
    </w:p>
    <w:p w14:paraId="1D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дополнительны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расход</w:t>
      </w:r>
      <w:r>
        <w:rPr>
          <w:rFonts w:ascii="Times New Roman" w:hAnsi="Times New Roman"/>
          <w:sz w:val="28"/>
        </w:rPr>
        <w:t>ы</w:t>
      </w:r>
      <w:r>
        <w:rPr>
          <w:rFonts w:ascii="Times New Roman" w:hAnsi="Times New Roman"/>
          <w:sz w:val="28"/>
        </w:rPr>
        <w:t xml:space="preserve"> местного бюджета (бюджета муниципального образования Выселковский район), связанных с введением предлагаемого пр</w:t>
      </w:r>
      <w:r>
        <w:rPr>
          <w:rFonts w:ascii="Times New Roman" w:hAnsi="Times New Roman"/>
          <w:sz w:val="28"/>
        </w:rPr>
        <w:t>а</w:t>
      </w:r>
      <w:r>
        <w:rPr>
          <w:rFonts w:ascii="Times New Roman" w:hAnsi="Times New Roman"/>
          <w:sz w:val="28"/>
        </w:rPr>
        <w:t>вового регулирования</w:t>
      </w:r>
      <w:r>
        <w:rPr>
          <w:rFonts w:ascii="Times New Roman" w:hAnsi="Times New Roman"/>
          <w:sz w:val="28"/>
        </w:rPr>
        <w:t xml:space="preserve">: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>;</w:t>
      </w:r>
    </w:p>
    <w:p w14:paraId="1E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введения предлагаемого правового регулирования – отсутствуют.</w:t>
      </w:r>
    </w:p>
    <w:p w14:paraId="1F000000">
      <w:pPr>
        <w:ind w:firstLine="743" w:left="0" w:right="-250"/>
        <w:rPr>
          <w:color w:val="000000"/>
          <w:sz w:val="28"/>
        </w:rPr>
      </w:pPr>
      <w:r>
        <w:rPr>
          <w:color w:val="000000"/>
          <w:sz w:val="28"/>
        </w:rPr>
        <w:t>В соответствии с Порядком установлено сл</w:t>
      </w:r>
      <w:r>
        <w:rPr>
          <w:color w:val="000000"/>
          <w:sz w:val="28"/>
        </w:rPr>
        <w:t>е</w:t>
      </w:r>
      <w:r>
        <w:rPr>
          <w:color w:val="000000"/>
          <w:sz w:val="28"/>
        </w:rPr>
        <w:t xml:space="preserve">дующее: </w:t>
      </w:r>
    </w:p>
    <w:p w14:paraId="20000000">
      <w:pPr>
        <w:numPr>
          <w:ilvl w:val="0"/>
          <w:numId w:val="1"/>
        </w:numPr>
        <w:tabs>
          <w:tab w:leader="none" w:pos="1027" w:val="left"/>
        </w:tabs>
        <w:ind w:firstLine="743" w:left="0"/>
        <w:jc w:val="both"/>
        <w:rPr>
          <w:color w:val="000000"/>
          <w:sz w:val="28"/>
        </w:rPr>
      </w:pPr>
      <w:r>
        <w:rPr>
          <w:color w:val="000000"/>
          <w:sz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1000000">
      <w:pPr>
        <w:widowControl w:val="0"/>
        <w:tabs>
          <w:tab w:leader="none" w:pos="851" w:val="left"/>
          <w:tab w:leader="none" w:pos="1134" w:val="left"/>
          <w:tab w:leader="none" w:pos="1276" w:val="left"/>
        </w:tabs>
        <w:ind w:firstLine="709" w:left="0"/>
        <w:jc w:val="both"/>
        <w:outlineLvl w:val="0"/>
        <w:rPr>
          <w:sz w:val="28"/>
        </w:rPr>
      </w:pPr>
      <w:r>
        <w:rPr>
          <w:sz w:val="28"/>
        </w:rPr>
        <w:t>физические и юридические лица, являющиеся зе</w:t>
      </w:r>
      <w:r>
        <w:rPr>
          <w:sz w:val="28"/>
        </w:rPr>
        <w:t>м</w:t>
      </w:r>
      <w:r>
        <w:rPr>
          <w:sz w:val="28"/>
        </w:rPr>
        <w:t>лепользователями, землевладельцами, арендаторами земельных участков и заинт</w:t>
      </w:r>
      <w:r>
        <w:rPr>
          <w:sz w:val="28"/>
        </w:rPr>
        <w:t>е</w:t>
      </w:r>
      <w:r>
        <w:rPr>
          <w:sz w:val="28"/>
        </w:rPr>
        <w:t>ресованные в образовании земельных участков из земель или земельных участков</w:t>
      </w:r>
      <w:r>
        <w:rPr>
          <w:sz w:val="28"/>
        </w:rPr>
        <w:t xml:space="preserve"> -</w:t>
      </w:r>
      <w:r>
        <w:rPr>
          <w:sz w:val="28"/>
        </w:rPr>
        <w:t xml:space="preserve"> </w:t>
      </w:r>
      <w:r>
        <w:rPr>
          <w:sz w:val="28"/>
        </w:rPr>
        <w:t>государственная собственность на которые не разграничена, в отношении земельных участков, расположенных на территории сельского поселения, вх</w:t>
      </w:r>
      <w:r>
        <w:rPr>
          <w:sz w:val="28"/>
        </w:rPr>
        <w:t>о</w:t>
      </w:r>
      <w:r>
        <w:rPr>
          <w:sz w:val="28"/>
        </w:rPr>
        <w:t xml:space="preserve">дящего в состав муниципального образования </w:t>
      </w:r>
      <w:r>
        <w:rPr>
          <w:sz w:val="28"/>
        </w:rPr>
        <w:t>Выселковский</w:t>
      </w:r>
      <w:r>
        <w:rPr>
          <w:sz w:val="28"/>
        </w:rPr>
        <w:t xml:space="preserve"> район;</w:t>
      </w:r>
      <w:r>
        <w:rPr>
          <w:sz w:val="28"/>
        </w:rPr>
        <w:t xml:space="preserve"> </w:t>
      </w:r>
      <w:r>
        <w:rPr>
          <w:sz w:val="28"/>
        </w:rPr>
        <w:t xml:space="preserve">находящегося в собственности муниципального образования </w:t>
      </w:r>
      <w:r>
        <w:rPr>
          <w:sz w:val="28"/>
        </w:rPr>
        <w:t>Выселко</w:t>
      </w:r>
      <w:r>
        <w:rPr>
          <w:sz w:val="28"/>
        </w:rPr>
        <w:t>в</w:t>
      </w:r>
      <w:r>
        <w:rPr>
          <w:sz w:val="28"/>
        </w:rPr>
        <w:t xml:space="preserve">ский район, </w:t>
      </w:r>
      <w:r>
        <w:rPr>
          <w:sz w:val="28"/>
        </w:rPr>
        <w:t xml:space="preserve"> либо их представители, над</w:t>
      </w:r>
      <w:r>
        <w:rPr>
          <w:sz w:val="28"/>
        </w:rPr>
        <w:t>е</w:t>
      </w:r>
      <w:r>
        <w:rPr>
          <w:sz w:val="28"/>
        </w:rPr>
        <w:t>ленные соответствующими полномочиями.</w:t>
      </w:r>
    </w:p>
    <w:p w14:paraId="22000000">
      <w:pPr>
        <w:ind/>
        <w:jc w:val="both"/>
        <w:outlineLvl w:val="0"/>
        <w:rPr>
          <w:sz w:val="28"/>
        </w:rPr>
      </w:pPr>
      <w:r>
        <w:rPr>
          <w:sz w:val="28"/>
        </w:rPr>
        <w:t xml:space="preserve">       2. Проблема, на решение которой направлено предлагаемое проектом правовое регулирование:</w:t>
      </w:r>
    </w:p>
    <w:p w14:paraId="23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Невозможность предоставления муниципальной услуги «Утверждение схемы расположения земельного участка или земельных участков на кадастровом плане территории».</w:t>
      </w:r>
    </w:p>
    <w:p w14:paraId="24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Федеральным законом от 30 декабря 2021 года № 478-ФЗ «О внесении измен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ний в отдельные законодательные акты Российской Федерации» в Земельный кодекс Российской Федерации с 1 сентября 2022 года внесены изменения: в пп. 5 п.16 ст.11.10, п.16 ст. 11.10 дополнен пп.6, ст. 11.10 дополнена п.2.1.  </w:t>
      </w:r>
    </w:p>
    <w:p w14:paraId="25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Административный регламент предоставления администрацией муниципал</w:t>
      </w:r>
      <w:r>
        <w:rPr>
          <w:sz w:val="28"/>
        </w:rPr>
        <w:t>ь</w:t>
      </w:r>
      <w:r>
        <w:rPr>
          <w:sz w:val="28"/>
        </w:rPr>
        <w:t>ного образования Выселковский район муниципальной услуги «Утверждение схемы расположения земельного участка или земельных участков на кадастровом плане территории» определяет стандарты, сроки и последовательность администрати</w:t>
      </w:r>
      <w:r>
        <w:rPr>
          <w:sz w:val="28"/>
        </w:rPr>
        <w:t>в</w:t>
      </w:r>
      <w:r>
        <w:rPr>
          <w:sz w:val="28"/>
        </w:rPr>
        <w:t>ных процедур (действий) предоставления администрацией муниципального образов</w:t>
      </w:r>
      <w:r>
        <w:rPr>
          <w:sz w:val="28"/>
        </w:rPr>
        <w:t>а</w:t>
      </w:r>
      <w:r>
        <w:rPr>
          <w:sz w:val="28"/>
        </w:rPr>
        <w:t>ния Выселковский район муниципальной услуги по утверждению схемы расположения земельного участка или земельных участков на кадастровом плане территории.</w:t>
      </w:r>
    </w:p>
    <w:p w14:paraId="26000000">
      <w:pPr>
        <w:pStyle w:val="Style_5"/>
        <w:ind w:firstLine="708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27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2.</w:t>
      </w:r>
      <w:r>
        <w:rPr>
          <w:sz w:val="28"/>
        </w:rPr>
        <w:t xml:space="preserve">Цель предлагаемого правового регулирования </w:t>
      </w:r>
      <w:r>
        <w:rPr>
          <w:sz w:val="28"/>
        </w:rPr>
        <w:t>–</w:t>
      </w:r>
      <w:r>
        <w:rPr>
          <w:sz w:val="28"/>
        </w:rPr>
        <w:t xml:space="preserve"> </w:t>
      </w:r>
      <w:r>
        <w:rPr>
          <w:sz w:val="28"/>
        </w:rPr>
        <w:t>предоставление муниципальной услуги «Утверждение схемы расположения земельного участка или земельных уч</w:t>
      </w:r>
      <w:r>
        <w:rPr>
          <w:sz w:val="28"/>
        </w:rPr>
        <w:t>а</w:t>
      </w:r>
      <w:r>
        <w:rPr>
          <w:sz w:val="28"/>
        </w:rPr>
        <w:t>стков на кадастровом плане территории».</w:t>
      </w:r>
    </w:p>
    <w:p w14:paraId="28000000">
      <w:pPr>
        <w:widowControl w:val="0"/>
        <w:ind w:firstLine="709" w:left="0"/>
        <w:jc w:val="both"/>
        <w:rPr>
          <w:sz w:val="28"/>
        </w:rPr>
      </w:pPr>
      <w:r>
        <w:rPr>
          <w:sz w:val="28"/>
        </w:rPr>
        <w:t>Административный регламент предоставления администрацией муниципал</w:t>
      </w:r>
      <w:r>
        <w:rPr>
          <w:sz w:val="28"/>
        </w:rPr>
        <w:t>ь</w:t>
      </w:r>
      <w:r>
        <w:rPr>
          <w:sz w:val="28"/>
        </w:rPr>
        <w:t>ного образования Выселковский район муниципальной услуги «Утверждение схемы расположения земельного участка или земельных учас</w:t>
      </w:r>
      <w:r>
        <w:rPr>
          <w:sz w:val="28"/>
        </w:rPr>
        <w:t>тков на кадастровом плане территории» определяет стандарты, сроки и последовательность администрати</w:t>
      </w:r>
      <w:r>
        <w:rPr>
          <w:sz w:val="28"/>
        </w:rPr>
        <w:t>в</w:t>
      </w:r>
      <w:r>
        <w:rPr>
          <w:sz w:val="28"/>
        </w:rPr>
        <w:t>ных процедур (действий) предоставления администрацией муниципального образов</w:t>
      </w:r>
      <w:r>
        <w:rPr>
          <w:sz w:val="28"/>
        </w:rPr>
        <w:t>а</w:t>
      </w:r>
      <w:r>
        <w:rPr>
          <w:sz w:val="28"/>
        </w:rPr>
        <w:t>ния Выселковский район муниципальной услуги по утверждению схемы расположения земельного участка или земельных участков на кадастровом плане территории.</w:t>
      </w:r>
      <w:r>
        <w:rPr>
          <w:sz w:val="28"/>
        </w:rPr>
        <w:tab/>
      </w:r>
    </w:p>
    <w:p w14:paraId="29000000">
      <w:pPr>
        <w:ind w:firstLine="709" w:left="0" w:right="-284"/>
        <w:jc w:val="both"/>
        <w:outlineLvl w:val="0"/>
        <w:rPr>
          <w:sz w:val="28"/>
        </w:rPr>
      </w:pPr>
      <w:r>
        <w:rPr>
          <w:sz w:val="28"/>
        </w:rPr>
        <w:t>Цель предлагаемого правового регулирования соответствует принципам правового регулирования, установленным законодательством Российской Федерации и Краснодарского края</w:t>
      </w:r>
      <w:r>
        <w:rPr>
          <w:sz w:val="28"/>
        </w:rPr>
        <w:t xml:space="preserve">. </w:t>
      </w:r>
    </w:p>
    <w:p w14:paraId="2A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 xml:space="preserve">4. </w:t>
      </w:r>
      <w:r>
        <w:rPr>
          <w:sz w:val="28"/>
        </w:rPr>
        <w:t>Проект муниципального нормативного правового акта содержит пол</w:t>
      </w:r>
      <w:r>
        <w:rPr>
          <w:sz w:val="28"/>
        </w:rPr>
        <w:t>о</w:t>
      </w:r>
      <w:r>
        <w:rPr>
          <w:sz w:val="28"/>
        </w:rPr>
        <w:t xml:space="preserve">жения, </w:t>
      </w:r>
      <w:r>
        <w:rPr>
          <w:sz w:val="28"/>
        </w:rPr>
        <w:t>устанавливающие новые</w:t>
      </w:r>
      <w:r>
        <w:rPr>
          <w:sz w:val="28"/>
        </w:rPr>
        <w:t xml:space="preserve"> </w:t>
      </w:r>
      <w:r>
        <w:rPr>
          <w:sz w:val="28"/>
        </w:rPr>
        <w:t>обязательные требования</w:t>
      </w:r>
      <w:r>
        <w:rPr>
          <w:sz w:val="28"/>
        </w:rPr>
        <w:t xml:space="preserve"> для субъектов предпринимательской и </w:t>
      </w:r>
      <w:r>
        <w:rPr>
          <w:sz w:val="28"/>
        </w:rPr>
        <w:t>иной экономической деятельности, прав</w:t>
      </w:r>
      <w:r>
        <w:rPr>
          <w:sz w:val="28"/>
        </w:rPr>
        <w:t>а</w:t>
      </w:r>
      <w:r>
        <w:rPr>
          <w:sz w:val="28"/>
        </w:rPr>
        <w:t xml:space="preserve"> и обязанност</w:t>
      </w:r>
      <w:r>
        <w:rPr>
          <w:sz w:val="28"/>
        </w:rPr>
        <w:t>и субъектов</w:t>
      </w:r>
      <w:r>
        <w:rPr>
          <w:sz w:val="28"/>
        </w:rPr>
        <w:t xml:space="preserve"> </w:t>
      </w:r>
      <w:r>
        <w:rPr>
          <w:sz w:val="28"/>
        </w:rPr>
        <w:t>инвестиционной деятельности</w:t>
      </w:r>
      <w:r>
        <w:rPr>
          <w:sz w:val="28"/>
        </w:rPr>
        <w:t>:</w:t>
      </w:r>
    </w:p>
    <w:p w14:paraId="2B000000">
      <w:pPr>
        <w:widowControl w:val="0"/>
        <w:ind w:firstLine="851" w:left="0"/>
        <w:jc w:val="both"/>
        <w:rPr>
          <w:sz w:val="28"/>
        </w:rPr>
      </w:pPr>
      <w:r>
        <w:rPr>
          <w:sz w:val="28"/>
        </w:rPr>
        <w:t>Для утверждения схемы расположения земельного участка или земел</w:t>
      </w:r>
      <w:r>
        <w:rPr>
          <w:sz w:val="28"/>
        </w:rPr>
        <w:t>ь</w:t>
      </w:r>
      <w:r>
        <w:rPr>
          <w:sz w:val="28"/>
        </w:rPr>
        <w:t>ных участков на кадастровом плане территории заявитель предоставляет заявление и документы, указанные в п 2.6.1 административного регламента.</w:t>
      </w:r>
    </w:p>
    <w:p w14:paraId="2C000000">
      <w:pPr>
        <w:widowControl w:val="0"/>
        <w:tabs>
          <w:tab w:leader="none" w:pos="1560" w:val="left"/>
        </w:tabs>
        <w:ind/>
        <w:jc w:val="both"/>
        <w:outlineLvl w:val="0"/>
        <w:rPr>
          <w:sz w:val="28"/>
        </w:rPr>
      </w:pPr>
      <w:r>
        <w:rPr>
          <w:sz w:val="28"/>
        </w:rPr>
        <w:t xml:space="preserve">         </w:t>
      </w:r>
      <w:r>
        <w:rPr>
          <w:sz w:val="28"/>
        </w:rPr>
        <w:t>Изменение содержания и порядка реализации полномочий администрации муниципального образо</w:t>
      </w:r>
      <w:r>
        <w:rPr>
          <w:sz w:val="28"/>
        </w:rPr>
        <w:t>вания Выселковский район в отношениях с потенциальными адресатами не предусмотрено - в пределах штатной численности сотрудников.</w:t>
      </w:r>
    </w:p>
    <w:p w14:paraId="2D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sz w:val="28"/>
        </w:rPr>
        <w:t xml:space="preserve">       5. </w:t>
      </w:r>
      <w:r>
        <w:rPr>
          <w:sz w:val="28"/>
        </w:rPr>
        <w:t>Риски не достижения целей правового регулирования, а также возмо</w:t>
      </w:r>
      <w:r>
        <w:rPr>
          <w:sz w:val="28"/>
        </w:rPr>
        <w:t>ж</w:t>
      </w:r>
      <w:r>
        <w:rPr>
          <w:sz w:val="28"/>
        </w:rPr>
        <w:t>ные негативные последствия от введения правового регулирования для экон</w:t>
      </w:r>
      <w:r>
        <w:rPr>
          <w:sz w:val="28"/>
        </w:rPr>
        <w:t>о</w:t>
      </w:r>
      <w:r>
        <w:rPr>
          <w:sz w:val="28"/>
        </w:rPr>
        <w:t xml:space="preserve">мического развития муниципального образования Выселковский район </w:t>
      </w:r>
      <w:r>
        <w:rPr>
          <w:sz w:val="28"/>
        </w:rPr>
        <w:t>отсутствуют</w:t>
      </w:r>
      <w:r>
        <w:rPr>
          <w:sz w:val="28"/>
        </w:rPr>
        <w:t>.</w:t>
      </w:r>
    </w:p>
    <w:p w14:paraId="2E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t xml:space="preserve">    6. </w:t>
      </w:r>
      <w:r>
        <w:rPr>
          <w:sz w:val="28"/>
        </w:rPr>
        <w:t xml:space="preserve">Расходы потенциальных адресатов предлагаемого правового регулирования, понесенные от регулирующего воздействия предлагаемого проектом нормативного правового акта, относятся к информационным издержкам, предполагаются в виде затрат на написание любого документа низкого уровня сложности (менее 5 стр. печатного текста), подачу пакета документов в уполномоченный орган в соответствии с требованиями проекта муниципального нормативного правового акта) и составляют примерно </w:t>
      </w:r>
      <w:r>
        <w:rPr>
          <w:sz w:val="28"/>
        </w:rPr>
        <w:t>354,2</w:t>
      </w:r>
      <w:r>
        <w:rPr>
          <w:sz w:val="28"/>
        </w:rPr>
        <w:t xml:space="preserve"> руб. на одного заявителя.</w:t>
      </w:r>
    </w:p>
    <w:p w14:paraId="2F000000">
      <w:pPr>
        <w:pStyle w:val="Style_6"/>
        <w:tabs>
          <w:tab w:leader="none" w:pos="1027" w:val="left"/>
          <w:tab w:leader="none" w:pos="1369" w:val="left"/>
        </w:tabs>
        <w:spacing w:before="0"/>
        <w:ind w:firstLine="0" w:left="34" w:right="40"/>
        <w:rPr>
          <w:sz w:val="28"/>
        </w:rPr>
      </w:pPr>
      <w:r>
        <w:rPr>
          <w:sz w:val="28"/>
        </w:rPr>
        <w:t xml:space="preserve">         В соответствии с Методикой оценки стандартных издержек субъектов предпринимательской и иной экономической деятельности, возникающих в связи с исполнением требований регулирования, утвержденной приказом Министерства экономического развития Российской Федерации от 22 сентября 2015 года № 669:</w:t>
      </w:r>
    </w:p>
    <w:p w14:paraId="30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информационные издержки регулирования включают в себя затраты на сбор, подготовку и представление органам публичной власти информации (документов, сведений) в соответствии с требованиями акта, проекта акта, в том числе затраты на поддержание готовности представить необходимую информацию по запросу со стороны органов власти или их уполномоченных представителей.</w:t>
      </w:r>
    </w:p>
    <w:p w14:paraId="31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Расчет информационных издержек произведен с использованием калькулятора расчета стандартных издержек (</w:t>
      </w:r>
      <w:r>
        <w:rPr>
          <w:sz w:val="28"/>
        </w:rPr>
        <w:t>regulation</w:t>
      </w:r>
      <w:r>
        <w:rPr>
          <w:sz w:val="28"/>
        </w:rPr>
        <w:t>.</w:t>
      </w:r>
      <w:r>
        <w:rPr>
          <w:sz w:val="28"/>
        </w:rPr>
        <w:t>gov</w:t>
      </w:r>
      <w:r>
        <w:rPr>
          <w:sz w:val="28"/>
        </w:rPr>
        <w:t>.</w:t>
      </w:r>
      <w:r>
        <w:rPr>
          <w:sz w:val="28"/>
        </w:rPr>
        <w:t>ru</w:t>
      </w:r>
      <w:r>
        <w:rPr>
          <w:sz w:val="28"/>
        </w:rPr>
        <w:t>):</w:t>
      </w:r>
    </w:p>
    <w:p w14:paraId="32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название требования: представление пакета документов, предусмотренного проектом;</w:t>
      </w:r>
    </w:p>
    <w:p w14:paraId="33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требования: представление информации (документов);</w:t>
      </w:r>
    </w:p>
    <w:p w14:paraId="34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раздел требования: информационное;</w:t>
      </w:r>
    </w:p>
    <w:p w14:paraId="35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тип информационного элемента: внутренние документы для хранения/передачи органам власти;</w:t>
      </w:r>
    </w:p>
    <w:p w14:paraId="36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масштаб: субъекты регулирования – 1;</w:t>
      </w:r>
    </w:p>
    <w:p w14:paraId="37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частота предоставления: 1 пакет документов 1 раз;</w:t>
      </w:r>
    </w:p>
    <w:p w14:paraId="38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действия:</w:t>
      </w:r>
      <w:r>
        <w:rPr>
          <w:sz w:val="28"/>
        </w:rPr>
        <w:t xml:space="preserve"> подача пакета документов </w:t>
      </w:r>
      <w:r>
        <w:rPr>
          <w:sz w:val="28"/>
        </w:rPr>
        <w:t xml:space="preserve">– </w:t>
      </w:r>
      <w:r>
        <w:rPr>
          <w:sz w:val="28"/>
        </w:rPr>
        <w:t>1</w:t>
      </w:r>
      <w:r>
        <w:rPr>
          <w:sz w:val="28"/>
        </w:rPr>
        <w:t xml:space="preserve"> чел./час; </w:t>
      </w:r>
    </w:p>
    <w:p w14:paraId="39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</w:t>
      </w:r>
      <w:r>
        <w:rPr>
          <w:sz w:val="28"/>
        </w:rPr>
        <w:t>среднемесячная заработная плата на одного работника по Выселковскому району– 59504,8 руб.;</w:t>
      </w:r>
    </w:p>
    <w:p w14:paraId="3A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средняя стоимость часа работы: 354,2 руб. (59504,8 руб./21 рабочий день/8 час.);</w:t>
      </w:r>
    </w:p>
    <w:p w14:paraId="3B000000">
      <w:pPr>
        <w:pStyle w:val="Style_6"/>
        <w:tabs>
          <w:tab w:leader="none" w:pos="1027" w:val="left"/>
          <w:tab w:leader="none" w:pos="1369" w:val="left"/>
        </w:tabs>
        <w:spacing w:before="0"/>
        <w:ind w:right="40"/>
        <w:rPr>
          <w:sz w:val="28"/>
        </w:rPr>
      </w:pPr>
      <w:r>
        <w:rPr>
          <w:sz w:val="28"/>
        </w:rPr>
        <w:t xml:space="preserve">          общая стоимость требования: </w:t>
      </w:r>
      <w:r>
        <w:rPr>
          <w:sz w:val="28"/>
        </w:rPr>
        <w:t>354,2</w:t>
      </w:r>
      <w:r>
        <w:rPr>
          <w:sz w:val="28"/>
        </w:rPr>
        <w:t xml:space="preserve"> руб. (354,2 руб./час </w:t>
      </w:r>
      <w:r>
        <w:rPr>
          <w:sz w:val="28"/>
        </w:rPr>
        <w:t>x</w:t>
      </w:r>
      <w:r>
        <w:rPr>
          <w:sz w:val="28"/>
        </w:rPr>
        <w:t xml:space="preserve"> </w:t>
      </w:r>
      <w:r>
        <w:rPr>
          <w:sz w:val="28"/>
        </w:rPr>
        <w:t>1</w:t>
      </w:r>
      <w:r>
        <w:rPr>
          <w:sz w:val="28"/>
        </w:rPr>
        <w:t xml:space="preserve"> чел./час) на 1-го заявителя.</w:t>
      </w:r>
    </w:p>
    <w:p w14:paraId="3C000000">
      <w:pPr>
        <w:pStyle w:val="Style_7"/>
        <w:ind w:firstLine="708" w:left="34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Необоснованные расходы, связанные с регулирующим воздействием проекта, отсутствуют. </w:t>
      </w:r>
    </w:p>
    <w:p w14:paraId="3D000000">
      <w:pPr>
        <w:pStyle w:val="Style_5"/>
        <w:ind w:firstLine="567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 xml:space="preserve">асходы 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понесённые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-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не предполагаются.</w:t>
      </w:r>
    </w:p>
    <w:p w14:paraId="3E000000">
      <w:pPr>
        <w:pStyle w:val="Style_2"/>
        <w:ind w:firstLine="851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Доходы </w:t>
      </w:r>
      <w:r>
        <w:rPr>
          <w:rFonts w:ascii="Times New Roman" w:hAnsi="Times New Roman"/>
          <w:sz w:val="28"/>
        </w:rPr>
        <w:t xml:space="preserve">бюджета муниципального образования </w:t>
      </w:r>
      <w:r>
        <w:rPr>
          <w:rFonts w:ascii="Times New Roman" w:hAnsi="Times New Roman"/>
          <w:sz w:val="28"/>
        </w:rPr>
        <w:t>Выселковский</w:t>
      </w:r>
      <w:r>
        <w:rPr>
          <w:rFonts w:ascii="Times New Roman" w:hAnsi="Times New Roman"/>
          <w:sz w:val="28"/>
        </w:rPr>
        <w:t xml:space="preserve"> район, </w:t>
      </w:r>
      <w:r>
        <w:rPr>
          <w:rFonts w:ascii="Times New Roman" w:hAnsi="Times New Roman"/>
          <w:sz w:val="28"/>
        </w:rPr>
        <w:t>получе</w:t>
      </w:r>
      <w:r>
        <w:rPr>
          <w:rFonts w:ascii="Times New Roman" w:hAnsi="Times New Roman"/>
          <w:sz w:val="28"/>
        </w:rPr>
        <w:t xml:space="preserve">нные от регулирующего воздействия предлагаемого проекта </w:t>
      </w:r>
      <w:r>
        <w:rPr>
          <w:rFonts w:ascii="Times New Roman" w:hAnsi="Times New Roman"/>
          <w:sz w:val="28"/>
        </w:rPr>
        <w:t>муниципального нормативного правового акта</w:t>
      </w:r>
      <w:r>
        <w:rPr>
          <w:rFonts w:ascii="Times New Roman" w:hAnsi="Times New Roman"/>
          <w:sz w:val="28"/>
        </w:rPr>
        <w:t xml:space="preserve"> – </w:t>
      </w:r>
      <w:r>
        <w:rPr>
          <w:rFonts w:ascii="Times New Roman" w:hAnsi="Times New Roman"/>
          <w:sz w:val="28"/>
        </w:rPr>
        <w:t>не предполагаются</w:t>
      </w:r>
      <w:r>
        <w:rPr>
          <w:rFonts w:ascii="Times New Roman" w:hAnsi="Times New Roman"/>
          <w:sz w:val="28"/>
        </w:rPr>
        <w:t xml:space="preserve">. </w:t>
      </w:r>
    </w:p>
    <w:p w14:paraId="3F000000">
      <w:pPr>
        <w:tabs>
          <w:tab w:leader="none" w:pos="1027" w:val="left"/>
        </w:tabs>
        <w:ind w:firstLine="0" w:left="34"/>
        <w:jc w:val="both"/>
        <w:rPr>
          <w:sz w:val="28"/>
        </w:rPr>
      </w:pPr>
      <w:r>
        <w:rPr>
          <w:color w:val="000000"/>
          <w:sz w:val="28"/>
        </w:rPr>
        <w:t xml:space="preserve">         7.</w:t>
      </w:r>
      <w:r>
        <w:rPr>
          <w:color w:val="000000"/>
          <w:sz w:val="28"/>
        </w:rPr>
        <w:t>В соответствии с Порядком уполномоченный орган провел    публичные ко</w:t>
      </w:r>
      <w:r>
        <w:rPr>
          <w:color w:val="000000"/>
          <w:sz w:val="28"/>
        </w:rPr>
        <w:t>н</w:t>
      </w:r>
      <w:r>
        <w:rPr>
          <w:color w:val="000000"/>
          <w:sz w:val="28"/>
        </w:rPr>
        <w:t xml:space="preserve">сультации по проекту в период с </w:t>
      </w:r>
      <w:r>
        <w:rPr>
          <w:color w:val="000000"/>
          <w:sz w:val="28"/>
        </w:rPr>
        <w:t>20</w:t>
      </w:r>
      <w:r>
        <w:rPr>
          <w:color w:val="000000"/>
          <w:sz w:val="28"/>
        </w:rPr>
        <w:t>.</w:t>
      </w:r>
      <w:r>
        <w:rPr>
          <w:color w:val="000000"/>
          <w:sz w:val="28"/>
        </w:rPr>
        <w:t>0</w:t>
      </w:r>
      <w:r>
        <w:rPr>
          <w:color w:val="000000"/>
          <w:sz w:val="28"/>
        </w:rPr>
        <w:t>1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 по </w:t>
      </w:r>
      <w:r>
        <w:rPr>
          <w:color w:val="000000"/>
          <w:sz w:val="28"/>
        </w:rPr>
        <w:t>02</w:t>
      </w:r>
      <w:r>
        <w:rPr>
          <w:color w:val="000000"/>
          <w:sz w:val="28"/>
        </w:rPr>
        <w:t>.02</w:t>
      </w:r>
      <w:r>
        <w:rPr>
          <w:color w:val="000000"/>
          <w:sz w:val="28"/>
        </w:rPr>
        <w:t>.20</w:t>
      </w:r>
      <w:r>
        <w:rPr>
          <w:color w:val="000000"/>
          <w:sz w:val="28"/>
        </w:rPr>
        <w:t>2</w:t>
      </w:r>
      <w:r>
        <w:rPr>
          <w:color w:val="000000"/>
          <w:sz w:val="28"/>
        </w:rPr>
        <w:t>3</w:t>
      </w:r>
      <w:r>
        <w:rPr>
          <w:color w:val="000000"/>
          <w:sz w:val="28"/>
        </w:rPr>
        <w:t xml:space="preserve"> г.</w:t>
      </w:r>
    </w:p>
    <w:p w14:paraId="40000000">
      <w:pPr>
        <w:tabs>
          <w:tab w:leader="none" w:pos="1027" w:val="left"/>
        </w:tabs>
        <w:ind/>
        <w:jc w:val="both"/>
        <w:rPr>
          <w:sz w:val="28"/>
        </w:rPr>
      </w:pPr>
      <w:r>
        <w:rPr>
          <w:color w:val="000000"/>
          <w:sz w:val="28"/>
        </w:rPr>
        <w:t xml:space="preserve">         8.  </w:t>
      </w:r>
      <w:r>
        <w:rPr>
          <w:sz w:val="28"/>
        </w:rPr>
        <w:t>Информация о проводимых публичных консультациях была размещена на официальном интернет-портале администрации муниципального образования Выселковский район (</w:t>
      </w:r>
      <w:r>
        <w:rPr>
          <w:rStyle w:val="Style_8_ch"/>
          <w:sz w:val="28"/>
        </w:rPr>
        <w:fldChar w:fldCharType="begin"/>
      </w:r>
      <w:r>
        <w:rPr>
          <w:rStyle w:val="Style_8_ch"/>
          <w:sz w:val="28"/>
        </w:rPr>
        <w:instrText>HYPERLINK "http://viselki.net"</w:instrText>
      </w:r>
      <w:r>
        <w:rPr>
          <w:rStyle w:val="Style_8_ch"/>
          <w:sz w:val="28"/>
        </w:rPr>
        <w:fldChar w:fldCharType="separate"/>
      </w:r>
      <w:r>
        <w:rPr>
          <w:rStyle w:val="Style_8_ch"/>
          <w:sz w:val="28"/>
        </w:rPr>
        <w:t>http</w:t>
      </w:r>
      <w:r>
        <w:rPr>
          <w:rStyle w:val="Style_8_ch"/>
          <w:sz w:val="28"/>
        </w:rPr>
        <w:t>://</w:t>
      </w:r>
      <w:r>
        <w:rPr>
          <w:rStyle w:val="Style_8_ch"/>
          <w:sz w:val="28"/>
        </w:rPr>
        <w:t>viselki</w:t>
      </w:r>
      <w:r>
        <w:rPr>
          <w:rStyle w:val="Style_8_ch"/>
          <w:sz w:val="28"/>
        </w:rPr>
        <w:t>.</w:t>
      </w:r>
      <w:r>
        <w:rPr>
          <w:rStyle w:val="Style_8_ch"/>
          <w:sz w:val="28"/>
        </w:rPr>
        <w:t>net</w:t>
      </w:r>
      <w:r>
        <w:rPr>
          <w:rStyle w:val="Style_8_ch"/>
          <w:sz w:val="28"/>
        </w:rPr>
        <w:fldChar w:fldCharType="end"/>
      </w:r>
      <w:r>
        <w:rPr>
          <w:sz w:val="28"/>
        </w:rPr>
        <w:t>).</w:t>
      </w:r>
    </w:p>
    <w:p w14:paraId="41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Также данный проект был направлен на рассмотрение в адрес</w:t>
      </w:r>
      <w:r>
        <w:rPr>
          <w:rFonts w:ascii="Times New Roman" w:hAnsi="Times New Roman"/>
          <w:sz w:val="28"/>
        </w:rPr>
        <w:t xml:space="preserve"> Выселковской торгово-промышленной палаты, общественному представителю уполномоченного по защите прав предпринимателей в муниципальном образовании Выселковский район.</w:t>
      </w:r>
    </w:p>
    <w:p w14:paraId="42000000">
      <w:pPr>
        <w:tabs>
          <w:tab w:leader="none" w:pos="1168" w:val="left"/>
          <w:tab w:leader="none" w:pos="1354" w:val="left"/>
        </w:tabs>
        <w:ind/>
        <w:jc w:val="both"/>
        <w:rPr>
          <w:color w:val="000000"/>
          <w:sz w:val="28"/>
        </w:rPr>
      </w:pPr>
      <w:r>
        <w:rPr>
          <w:sz w:val="28"/>
        </w:rPr>
        <w:t xml:space="preserve">       9. </w:t>
      </w:r>
      <w:r>
        <w:rPr>
          <w:sz w:val="28"/>
        </w:rPr>
        <w:t xml:space="preserve">В период проведения публичных консультаций замечаний и предложений по проекту муниципального нормативного правового акта от участников публичных консультаций и </w:t>
      </w:r>
      <w:r>
        <w:rPr>
          <w:sz w:val="28"/>
        </w:rPr>
        <w:t>от Выселковской торгово-промышленной палаты, общественного представителя уполномоченного по защите прав предпринимателей в муниципальном образовании Выселковский район</w:t>
      </w:r>
      <w:r>
        <w:rPr>
          <w:sz w:val="28"/>
        </w:rPr>
        <w:t xml:space="preserve"> не поступило. </w:t>
      </w:r>
    </w:p>
    <w:p w14:paraId="43000000">
      <w:pPr>
        <w:ind w:firstLine="851" w:left="0"/>
        <w:jc w:val="both"/>
        <w:rPr>
          <w:sz w:val="28"/>
        </w:rPr>
      </w:pPr>
      <w:r>
        <w:rPr>
          <w:color w:val="000000"/>
          <w:sz w:val="28"/>
        </w:rPr>
        <w:t>10</w:t>
      </w:r>
      <w:r>
        <w:rPr>
          <w:color w:val="000000"/>
          <w:sz w:val="28"/>
        </w:rPr>
        <w:t xml:space="preserve">. 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 </w:t>
      </w:r>
      <w:r>
        <w:rPr>
          <w:sz w:val="28"/>
        </w:rPr>
        <w:t>По результатам оценки регулирующего воздействия сделаны выводы об отсутствии в представленном проекте нормативного правового акта положений, вводящих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 инвестиционной деятельности или способствующих их введению, оказывающих негативное влияние на отрасли экономики муниципального образования Выселковский район, способствующих возникновению необоснованных расходов субъектов предпринимательской и иной экономической деятельности, субъектов инвестиционной деятельности, а также необоснованных расходов бюджета муниципального образования Выселковский район, и о возможности его дальнейшего согласования.</w:t>
      </w:r>
      <w:r>
        <w:rPr>
          <w:sz w:val="28"/>
        </w:rPr>
        <w:t xml:space="preserve">  </w:t>
      </w:r>
    </w:p>
    <w:p w14:paraId="44000000">
      <w:pPr>
        <w:ind w:firstLine="851" w:left="0"/>
        <w:jc w:val="both"/>
        <w:rPr>
          <w:sz w:val="28"/>
        </w:rPr>
      </w:pPr>
    </w:p>
    <w:p w14:paraId="45000000">
      <w:pPr>
        <w:rPr>
          <w:sz w:val="28"/>
        </w:rPr>
      </w:pPr>
      <w:r>
        <w:rPr>
          <w:sz w:val="28"/>
        </w:rPr>
        <w:t>Заместитель начальника отдела</w:t>
      </w:r>
    </w:p>
    <w:p w14:paraId="46000000">
      <w:pPr>
        <w:rPr>
          <w:sz w:val="28"/>
        </w:rPr>
      </w:pPr>
      <w:r>
        <w:rPr>
          <w:sz w:val="28"/>
        </w:rPr>
        <w:t xml:space="preserve">экономического развития, инвестиций </w:t>
      </w:r>
    </w:p>
    <w:p w14:paraId="47000000">
      <w:pPr>
        <w:rPr>
          <w:sz w:val="28"/>
        </w:rPr>
      </w:pPr>
      <w:r>
        <w:rPr>
          <w:sz w:val="28"/>
        </w:rPr>
        <w:t xml:space="preserve">и малого бизнеса администрации </w:t>
      </w:r>
    </w:p>
    <w:p w14:paraId="48000000">
      <w:pPr>
        <w:rPr>
          <w:sz w:val="28"/>
        </w:rPr>
      </w:pPr>
      <w:r>
        <w:rPr>
          <w:sz w:val="28"/>
        </w:rPr>
        <w:t>муниципального образования</w:t>
      </w:r>
    </w:p>
    <w:p w14:paraId="49000000">
      <w:pPr>
        <w:rPr>
          <w:sz w:val="28"/>
        </w:rPr>
      </w:pPr>
      <w:r>
        <w:rPr>
          <w:sz w:val="28"/>
        </w:rPr>
        <w:t>Выселковский район                                                                                Т.Н.Юрова</w:t>
      </w:r>
    </w:p>
    <w:p w14:paraId="4A000000">
      <w:pPr>
        <w:rPr>
          <w:color w:val="000000"/>
          <w:sz w:val="28"/>
        </w:rPr>
      </w:pPr>
      <w:r>
        <w:rPr>
          <w:color w:val="000000"/>
          <w:sz w:val="28"/>
        </w:rPr>
        <w:t xml:space="preserve">   </w:t>
      </w:r>
    </w:p>
    <w:p w14:paraId="4B000000">
      <w:pPr>
        <w:rPr>
          <w:color w:val="000000"/>
          <w:sz w:val="28"/>
        </w:rPr>
      </w:pPr>
      <w:r>
        <w:rPr>
          <w:color w:val="000000"/>
          <w:sz w:val="20"/>
        </w:rPr>
        <w:t>Юрова Т.Н. 73502</w:t>
      </w:r>
      <w:r>
        <w:rPr>
          <w:color w:val="000000"/>
          <w:sz w:val="28"/>
        </w:rPr>
        <w:t xml:space="preserve">                                                                                             23.06.2023г  </w:t>
      </w:r>
    </w:p>
    <w:sectPr>
      <w:pgSz w:h="16838" w:orient="portrait" w:w="11906"/>
      <w:pgMar w:bottom="851" w:footer="709" w:gutter="0" w:header="709" w:left="1701" w:right="567" w:top="851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."/>
      <w:lvlJc w:val="left"/>
      <w:pPr>
        <w:ind w:hanging="360" w:left="1103"/>
      </w:pPr>
      <w:rPr>
        <w:color w:val="000000"/>
        <w:sz w:val="28"/>
      </w:rPr>
    </w:lvl>
    <w:lvl w:ilvl="1">
      <w:start w:val="1"/>
      <w:numFmt w:val="lowerLetter"/>
      <w:lvlText w:val="%2."/>
      <w:lvlJc w:val="left"/>
      <w:pPr>
        <w:ind w:hanging="360" w:left="1823"/>
      </w:pPr>
    </w:lvl>
    <w:lvl w:ilvl="2">
      <w:start w:val="1"/>
      <w:numFmt w:val="lowerRoman"/>
      <w:lvlText w:val="%3."/>
      <w:lvlJc w:val="right"/>
      <w:pPr>
        <w:ind w:hanging="180" w:left="2543"/>
      </w:pPr>
    </w:lvl>
    <w:lvl w:ilvl="3">
      <w:start w:val="1"/>
      <w:numFmt w:val="decimal"/>
      <w:lvlText w:val="%4."/>
      <w:lvlJc w:val="left"/>
      <w:pPr>
        <w:ind w:hanging="360" w:left="3263"/>
      </w:pPr>
    </w:lvl>
    <w:lvl w:ilvl="4">
      <w:start w:val="1"/>
      <w:numFmt w:val="lowerLetter"/>
      <w:lvlText w:val="%5."/>
      <w:lvlJc w:val="left"/>
      <w:pPr>
        <w:ind w:hanging="360" w:left="3983"/>
      </w:pPr>
    </w:lvl>
    <w:lvl w:ilvl="5">
      <w:start w:val="1"/>
      <w:numFmt w:val="lowerRoman"/>
      <w:lvlText w:val="%6."/>
      <w:lvlJc w:val="right"/>
      <w:pPr>
        <w:ind w:hanging="180" w:left="4703"/>
      </w:pPr>
    </w:lvl>
    <w:lvl w:ilvl="6">
      <w:start w:val="1"/>
      <w:numFmt w:val="decimal"/>
      <w:lvlText w:val="%7."/>
      <w:lvlJc w:val="left"/>
      <w:pPr>
        <w:ind w:hanging="360" w:left="5423"/>
      </w:pPr>
    </w:lvl>
    <w:lvl w:ilvl="7">
      <w:start w:val="1"/>
      <w:numFmt w:val="lowerLetter"/>
      <w:lvlText w:val="%8."/>
      <w:lvlJc w:val="left"/>
      <w:pPr>
        <w:ind w:hanging="360" w:left="6143"/>
      </w:pPr>
    </w:lvl>
    <w:lvl w:ilvl="8">
      <w:start w:val="1"/>
      <w:numFmt w:val="lowerRoman"/>
      <w:lvlText w:val="%9."/>
      <w:lvlJc w:val="right"/>
      <w:pPr>
        <w:ind w:hanging="180" w:left="6863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9" w:type="paragraph">
    <w:name w:val="Normal"/>
    <w:link w:val="Style_9_ch"/>
    <w:uiPriority w:val="0"/>
    <w:qFormat/>
    <w:rPr>
      <w:sz w:val="24"/>
    </w:rPr>
  </w:style>
  <w:style w:default="1" w:styleId="Style_9_ch" w:type="character">
    <w:name w:val="Normal"/>
    <w:link w:val="Style_9"/>
    <w:rPr>
      <w:sz w:val="24"/>
    </w:rPr>
  </w:style>
  <w:style w:styleId="Style_10" w:type="paragraph">
    <w:name w:val="toc 2"/>
    <w:next w:val="Style_9"/>
    <w:link w:val="Style_10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2" w:type="paragraph">
    <w:name w:val="Нормальный (таблица)"/>
    <w:basedOn w:val="Style_9"/>
    <w:next w:val="Style_9"/>
    <w:link w:val="Style_2_ch"/>
    <w:pPr>
      <w:widowControl w:val="0"/>
      <w:ind/>
      <w:jc w:val="both"/>
    </w:pPr>
    <w:rPr>
      <w:rFonts w:ascii="Arial" w:hAnsi="Arial"/>
    </w:rPr>
  </w:style>
  <w:style w:styleId="Style_2_ch" w:type="character">
    <w:name w:val="Нормальный (таблица)"/>
    <w:basedOn w:val="Style_9_ch"/>
    <w:link w:val="Style_2"/>
    <w:rPr>
      <w:rFonts w:ascii="Arial" w:hAnsi="Arial"/>
    </w:rPr>
  </w:style>
  <w:style w:styleId="Style_11" w:type="paragraph">
    <w:name w:val="Гипертекстовая ссылка"/>
    <w:link w:val="Style_11_ch"/>
    <w:rPr>
      <w:b w:val="1"/>
      <w:color w:val="106BBE"/>
    </w:rPr>
  </w:style>
  <w:style w:styleId="Style_11_ch" w:type="character">
    <w:name w:val="Гипертекстовая ссылка"/>
    <w:link w:val="Style_11"/>
    <w:rPr>
      <w:b w:val="1"/>
      <w:color w:val="106BBE"/>
    </w:rPr>
  </w:style>
  <w:style w:styleId="Style_12" w:type="paragraph">
    <w:name w:val="Normal (Web)"/>
    <w:basedOn w:val="Style_9"/>
    <w:link w:val="Style_12_ch"/>
    <w:pPr>
      <w:spacing w:after="119" w:beforeAutospacing="on"/>
      <w:ind/>
    </w:pPr>
  </w:style>
  <w:style w:styleId="Style_12_ch" w:type="character">
    <w:name w:val="Normal (Web)"/>
    <w:basedOn w:val="Style_9_ch"/>
    <w:link w:val="Style_12"/>
  </w:style>
  <w:style w:styleId="Style_13" w:type="paragraph">
    <w:name w:val="toc 4"/>
    <w:next w:val="Style_9"/>
    <w:link w:val="Style_13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toc 6"/>
    <w:next w:val="Style_9"/>
    <w:link w:val="Style_14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4_ch" w:type="character">
    <w:name w:val="toc 6"/>
    <w:link w:val="Style_14"/>
    <w:rPr>
      <w:rFonts w:ascii="XO Thames" w:hAnsi="XO Thames"/>
      <w:sz w:val="28"/>
    </w:rPr>
  </w:style>
  <w:style w:styleId="Style_15" w:type="paragraph">
    <w:name w:val="toc 7"/>
    <w:next w:val="Style_9"/>
    <w:link w:val="Style_15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5_ch" w:type="character">
    <w:name w:val="toc 7"/>
    <w:link w:val="Style_15"/>
    <w:rPr>
      <w:rFonts w:ascii="XO Thames" w:hAnsi="XO Thames"/>
      <w:sz w:val="28"/>
    </w:rPr>
  </w:style>
  <w:style w:styleId="Style_16" w:type="paragraph">
    <w:name w:val="heading 3"/>
    <w:next w:val="Style_9"/>
    <w:link w:val="Style_16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6_ch" w:type="character">
    <w:name w:val="heading 3"/>
    <w:link w:val="Style_16"/>
    <w:rPr>
      <w:rFonts w:ascii="XO Thames" w:hAnsi="XO Thames"/>
      <w:b w:val="1"/>
      <w:sz w:val="26"/>
    </w:rPr>
  </w:style>
  <w:style w:styleId="Style_17" w:type="paragraph">
    <w:name w:val="ConsPlusTitle"/>
    <w:link w:val="Style_17_ch"/>
    <w:pPr>
      <w:widowControl w:val="0"/>
      <w:ind/>
    </w:pPr>
    <w:rPr>
      <w:b w:val="1"/>
      <w:sz w:val="24"/>
    </w:rPr>
  </w:style>
  <w:style w:styleId="Style_17_ch" w:type="character">
    <w:name w:val="ConsPlusTitle"/>
    <w:link w:val="Style_17"/>
    <w:rPr>
      <w:b w:val="1"/>
      <w:sz w:val="24"/>
    </w:rPr>
  </w:style>
  <w:style w:styleId="Style_3" w:type="paragraph">
    <w:name w:val="ConsPlusNormal"/>
    <w:link w:val="Style_3_ch"/>
    <w:pPr>
      <w:widowControl w:val="0"/>
      <w:ind/>
    </w:pPr>
    <w:rPr>
      <w:rFonts w:ascii="Arial" w:hAnsi="Arial"/>
    </w:rPr>
  </w:style>
  <w:style w:styleId="Style_3_ch" w:type="character">
    <w:name w:val="ConsPlusNormal"/>
    <w:link w:val="Style_3"/>
    <w:rPr>
      <w:rFonts w:ascii="Arial" w:hAnsi="Arial"/>
    </w:rPr>
  </w:style>
  <w:style w:styleId="Style_18" w:type="paragraph">
    <w:name w:val="Прижатый влево"/>
    <w:basedOn w:val="Style_9"/>
    <w:next w:val="Style_9"/>
    <w:link w:val="Style_18_ch"/>
    <w:rPr>
      <w:rFonts w:ascii="Cambria Math" w:hAnsi="Cambria Math"/>
    </w:rPr>
  </w:style>
  <w:style w:styleId="Style_18_ch" w:type="character">
    <w:name w:val="Прижатый влево"/>
    <w:basedOn w:val="Style_9_ch"/>
    <w:link w:val="Style_18"/>
    <w:rPr>
      <w:rFonts w:ascii="Cambria Math" w:hAnsi="Cambria Math"/>
    </w:rPr>
  </w:style>
  <w:style w:styleId="Style_6" w:type="paragraph">
    <w:name w:val="Основной текст1"/>
    <w:basedOn w:val="Style_9"/>
    <w:link w:val="Style_6_ch"/>
    <w:pPr>
      <w:widowControl w:val="0"/>
      <w:spacing w:before="300" w:line="322" w:lineRule="exact"/>
      <w:ind/>
      <w:jc w:val="both"/>
    </w:pPr>
    <w:rPr>
      <w:color w:val="000000"/>
      <w:sz w:val="27"/>
    </w:rPr>
  </w:style>
  <w:style w:styleId="Style_6_ch" w:type="character">
    <w:name w:val="Основной текст1"/>
    <w:basedOn w:val="Style_9_ch"/>
    <w:link w:val="Style_6"/>
    <w:rPr>
      <w:color w:val="000000"/>
      <w:sz w:val="27"/>
    </w:rPr>
  </w:style>
  <w:style w:styleId="Style_5" w:type="paragraph">
    <w:name w:val="ConsPlusNonformat"/>
    <w:link w:val="Style_5_ch"/>
    <w:pPr>
      <w:widowControl w:val="0"/>
      <w:ind/>
    </w:pPr>
    <w:rPr>
      <w:rFonts w:ascii="Courier New" w:hAnsi="Courier New"/>
    </w:rPr>
  </w:style>
  <w:style w:styleId="Style_5_ch" w:type="character">
    <w:name w:val="ConsPlusNonformat"/>
    <w:link w:val="Style_5"/>
    <w:rPr>
      <w:rFonts w:ascii="Courier New" w:hAnsi="Courier New"/>
    </w:rPr>
  </w:style>
  <w:style w:styleId="Style_19" w:type="paragraph">
    <w:name w:val="toc 3"/>
    <w:next w:val="Style_9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Default Paragraph Font"/>
    <w:link w:val="Style_20_ch"/>
  </w:style>
  <w:style w:styleId="Style_20_ch" w:type="character">
    <w:name w:val="Default Paragraph Font"/>
    <w:link w:val="Style_20"/>
  </w:style>
  <w:style w:styleId="Style_21" w:type="paragraph">
    <w:name w:val="heading 5"/>
    <w:next w:val="Style_9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blk"/>
    <w:basedOn w:val="Style_20"/>
    <w:link w:val="Style_22_ch"/>
  </w:style>
  <w:style w:styleId="Style_22_ch" w:type="character">
    <w:name w:val="blk"/>
    <w:basedOn w:val="Style_20_ch"/>
    <w:link w:val="Style_22"/>
  </w:style>
  <w:style w:styleId="Style_1" w:type="paragraph">
    <w:name w:val="heading 1"/>
    <w:basedOn w:val="Style_9"/>
    <w:next w:val="Style_9"/>
    <w:link w:val="Style_1_ch"/>
    <w:uiPriority w:val="9"/>
    <w:qFormat/>
    <w:pPr>
      <w:keepNext w:val="1"/>
      <w:widowControl w:val="0"/>
      <w:spacing w:before="5" w:line="326" w:lineRule="exact"/>
      <w:ind w:firstLine="0" w:left="38"/>
      <w:jc w:val="center"/>
      <w:outlineLvl w:val="0"/>
    </w:pPr>
    <w:rPr>
      <w:b w:val="1"/>
      <w:color w:val="000000"/>
      <w:spacing w:val="-16"/>
      <w:sz w:val="28"/>
    </w:rPr>
  </w:style>
  <w:style w:styleId="Style_1_ch" w:type="character">
    <w:name w:val="heading 1"/>
    <w:basedOn w:val="Style_9_ch"/>
    <w:link w:val="Style_1"/>
    <w:rPr>
      <w:b w:val="1"/>
      <w:color w:val="000000"/>
      <w:spacing w:val="-16"/>
      <w:sz w:val="28"/>
    </w:rPr>
  </w:style>
  <w:style w:styleId="Style_8" w:type="paragraph">
    <w:name w:val="Hyperlink"/>
    <w:link w:val="Style_8_ch"/>
    <w:rPr>
      <w:color w:val="0000FF"/>
      <w:u w:val="single"/>
    </w:rPr>
  </w:style>
  <w:style w:styleId="Style_8_ch" w:type="character">
    <w:name w:val="Hyperlink"/>
    <w:link w:val="Style_8"/>
    <w:rPr>
      <w:color w:val="0000FF"/>
      <w:u w:val="single"/>
    </w:rPr>
  </w:style>
  <w:style w:styleId="Style_23" w:type="paragraph">
    <w:name w:val="Footnote"/>
    <w:link w:val="Style_23_ch"/>
    <w:pPr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9"/>
    <w:link w:val="Style_24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spacing w:line="240" w:lineRule="auto"/>
      <w:ind/>
      <w:jc w:val="both"/>
    </w:pPr>
    <w:rPr>
      <w:rFonts w:ascii="XO Thames" w:hAnsi="XO Thames"/>
      <w:sz w:val="20"/>
    </w:rPr>
  </w:style>
  <w:style w:styleId="Style_25_ch" w:type="character">
    <w:name w:val="Header and Footer"/>
    <w:link w:val="Style_25"/>
    <w:rPr>
      <w:rFonts w:ascii="XO Thames" w:hAnsi="XO Thames"/>
      <w:sz w:val="20"/>
    </w:rPr>
  </w:style>
  <w:style w:styleId="Style_26" w:type="paragraph">
    <w:name w:val="toc 9"/>
    <w:next w:val="Style_9"/>
    <w:link w:val="Style_26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4" w:type="paragraph">
    <w:name w:val="Без интервала"/>
    <w:link w:val="Style_4_ch"/>
    <w:rPr>
      <w:rFonts w:ascii="Calibri" w:hAnsi="Calibri"/>
      <w:sz w:val="22"/>
    </w:rPr>
  </w:style>
  <w:style w:styleId="Style_4_ch" w:type="character">
    <w:name w:val="Без интервала"/>
    <w:link w:val="Style_4"/>
    <w:rPr>
      <w:rFonts w:ascii="Calibri" w:hAnsi="Calibri"/>
      <w:sz w:val="22"/>
    </w:rPr>
  </w:style>
  <w:style w:styleId="Style_27" w:type="paragraph">
    <w:name w:val="Strong"/>
    <w:basedOn w:val="Style_20"/>
    <w:link w:val="Style_27_ch"/>
    <w:rPr>
      <w:b w:val="1"/>
    </w:rPr>
  </w:style>
  <w:style w:styleId="Style_27_ch" w:type="character">
    <w:name w:val="Strong"/>
    <w:basedOn w:val="Style_20_ch"/>
    <w:link w:val="Style_27"/>
    <w:rPr>
      <w:b w:val="1"/>
    </w:rPr>
  </w:style>
  <w:style w:styleId="Style_28" w:type="paragraph">
    <w:name w:val="toc 8"/>
    <w:next w:val="Style_9"/>
    <w:link w:val="Style_28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7" w:type="paragraph">
    <w:name w:val="No Spacing"/>
    <w:link w:val="Style_7_ch"/>
    <w:rPr>
      <w:rFonts w:ascii="Calibri" w:hAnsi="Calibri"/>
      <w:sz w:val="22"/>
    </w:rPr>
  </w:style>
  <w:style w:styleId="Style_7_ch" w:type="character">
    <w:name w:val="No Spacing"/>
    <w:link w:val="Style_7"/>
    <w:rPr>
      <w:rFonts w:ascii="Calibri" w:hAnsi="Calibri"/>
      <w:sz w:val="22"/>
    </w:rPr>
  </w:style>
  <w:style w:styleId="Style_29" w:type="paragraph">
    <w:name w:val="toc 5"/>
    <w:next w:val="Style_9"/>
    <w:link w:val="Style_29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Subtitle"/>
    <w:next w:val="Style_9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header"/>
    <w:basedOn w:val="Style_9"/>
    <w:link w:val="Style_31_ch"/>
    <w:pPr>
      <w:tabs>
        <w:tab w:leader="none" w:pos="4677" w:val="center"/>
        <w:tab w:leader="none" w:pos="9355" w:val="right"/>
      </w:tabs>
      <w:ind/>
    </w:pPr>
  </w:style>
  <w:style w:styleId="Style_31_ch" w:type="character">
    <w:name w:val="header"/>
    <w:basedOn w:val="Style_9_ch"/>
    <w:link w:val="Style_31"/>
  </w:style>
  <w:style w:styleId="Style_32" w:type="paragraph">
    <w:name w:val="Title"/>
    <w:next w:val="Style_9"/>
    <w:link w:val="Style_3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9"/>
    <w:link w:val="Style_3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heading 2"/>
    <w:next w:val="Style_9"/>
    <w:link w:val="Style_34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4_ch" w:type="character">
    <w:name w:val="heading 2"/>
    <w:link w:val="Style_34"/>
    <w:rPr>
      <w:rFonts w:ascii="XO Thames" w:hAnsi="XO Thames"/>
      <w:b w:val="1"/>
      <w:sz w:val="28"/>
    </w:rPr>
  </w:style>
  <w:style w:default="1" w:styleId="Style_35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2023-06-27T08:28:47Z</dcterms:modified>
</cp:coreProperties>
</file>