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</w:t>
      </w:r>
      <w:r>
        <w:rPr>
          <w:sz w:val="28"/>
        </w:rPr>
        <w:t>Начальнику отдела</w:t>
      </w:r>
    </w:p>
    <w:p w14:paraId="02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по управлению муниципальным </w:t>
      </w:r>
    </w:p>
    <w:p w14:paraId="03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имуществом и земельным вопросам</w:t>
      </w:r>
    </w:p>
    <w:p w14:paraId="04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администрации </w:t>
      </w:r>
    </w:p>
    <w:p w14:paraId="05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муниципального</w:t>
      </w:r>
      <w:r>
        <w:rPr>
          <w:sz w:val="28"/>
        </w:rPr>
        <w:t xml:space="preserve"> </w:t>
      </w:r>
      <w:r>
        <w:rPr>
          <w:sz w:val="28"/>
        </w:rPr>
        <w:t xml:space="preserve">  образования             </w:t>
      </w:r>
      <w:r>
        <w:rPr>
          <w:sz w:val="28"/>
        </w:rPr>
        <w:t xml:space="preserve">                                                       </w:t>
      </w:r>
      <w:r>
        <w:rPr>
          <w:sz w:val="28"/>
        </w:rPr>
        <w:t xml:space="preserve">  </w:t>
      </w:r>
      <w:r>
        <w:rPr>
          <w:sz w:val="28"/>
        </w:rPr>
        <w:t xml:space="preserve">               </w:t>
      </w:r>
    </w:p>
    <w:p w14:paraId="06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</w:t>
      </w:r>
      <w:r>
        <w:rPr>
          <w:sz w:val="28"/>
        </w:rPr>
        <w:t>Выселковский район</w:t>
      </w:r>
    </w:p>
    <w:p w14:paraId="07000000">
      <w:r>
        <w:rPr>
          <w:sz w:val="28"/>
        </w:rPr>
        <w:t xml:space="preserve">                                                                            А</w:t>
      </w:r>
      <w:r>
        <w:rPr>
          <w:sz w:val="28"/>
        </w:rPr>
        <w:t>.В.</w:t>
      </w:r>
      <w:r>
        <w:rPr>
          <w:sz w:val="28"/>
        </w:rPr>
        <w:t>Пазий</w:t>
      </w:r>
    </w:p>
    <w:p w14:paraId="08000000"/>
    <w:p w14:paraId="09000000">
      <w:pPr>
        <w:pStyle w:val="Style_1"/>
        <w:spacing w:before="0"/>
        <w:ind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</w:r>
      <w:r>
        <w:rPr>
          <w:b w:val="0"/>
          <w:spacing w:val="0"/>
        </w:rPr>
        <w:t>об оценке регулирующего воздействия</w:t>
      </w:r>
    </w:p>
    <w:p w14:paraId="0A000000">
      <w:pPr>
        <w:ind/>
        <w:jc w:val="center"/>
        <w:rPr>
          <w:b w:val="1"/>
          <w:color w:val="000000"/>
          <w:sz w:val="28"/>
        </w:rPr>
      </w:pPr>
      <w:r>
        <w:rPr>
          <w:rFonts w:ascii="Times New Roman" w:hAnsi="Times New Roman"/>
          <w:sz w:val="28"/>
        </w:rPr>
        <w:t>проекта решения Совета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Положения о муниципальном земельном контроле на территории муниципального образования Выселковский район»</w:t>
      </w:r>
    </w:p>
    <w:p w14:paraId="0B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</w:p>
    <w:p w14:paraId="0C000000">
      <w:pPr>
        <w:ind/>
        <w:jc w:val="both"/>
        <w:rPr>
          <w:sz w:val="28"/>
        </w:rPr>
      </w:pPr>
      <w:r>
        <w:rPr>
          <w:sz w:val="28"/>
        </w:rPr>
        <w:t xml:space="preserve">           </w:t>
      </w:r>
      <w:r>
        <w:rPr>
          <w:sz w:val="28"/>
        </w:rPr>
        <w:t>Отделом экономического развития, инвестиций и малого бизнеса администрации муниципального образования Выселковский район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</w:t>
      </w:r>
      <w:r>
        <w:rPr>
          <w:sz w:val="28"/>
        </w:rPr>
        <w:t>т</w:t>
      </w:r>
      <w:r>
        <w:rPr>
          <w:sz w:val="28"/>
        </w:rPr>
        <w:t>ренные муниципальными нормативными правовыми актами обязательные тр</w:t>
      </w:r>
      <w:r>
        <w:rPr>
          <w:sz w:val="28"/>
        </w:rPr>
        <w:t>е</w:t>
      </w:r>
      <w:r>
        <w:rPr>
          <w:sz w:val="28"/>
        </w:rPr>
        <w:t>бования для субъектов предпринимательской и иной экономической деятельн</w:t>
      </w:r>
      <w:r>
        <w:rPr>
          <w:sz w:val="28"/>
        </w:rPr>
        <w:t>о</w:t>
      </w:r>
      <w:r>
        <w:rPr>
          <w:sz w:val="28"/>
        </w:rPr>
        <w:t>сти, обязанности для субъектов инвестицион</w:t>
      </w:r>
      <w:bookmarkStart w:id="1" w:name="_GoBack"/>
      <w:bookmarkEnd w:id="1"/>
      <w:r>
        <w:rPr>
          <w:sz w:val="28"/>
        </w:rPr>
        <w:t>ной деятельности (далее – Упо</w:t>
      </w:r>
      <w:r>
        <w:rPr>
          <w:sz w:val="28"/>
        </w:rPr>
        <w:t>л</w:t>
      </w:r>
      <w:r>
        <w:rPr>
          <w:sz w:val="28"/>
        </w:rPr>
        <w:t>номоченный орган)</w:t>
      </w:r>
      <w:r>
        <w:rPr>
          <w:sz w:val="28"/>
        </w:rPr>
        <w:t xml:space="preserve"> рассмотрен поступивший 15</w:t>
      </w:r>
      <w:r>
        <w:rPr>
          <w:sz w:val="28"/>
        </w:rPr>
        <w:t xml:space="preserve"> ноября</w:t>
      </w:r>
      <w:r>
        <w:rPr>
          <w:sz w:val="28"/>
        </w:rPr>
        <w:t xml:space="preserve"> </w:t>
      </w:r>
      <w:r>
        <w:rPr>
          <w:sz w:val="28"/>
        </w:rPr>
        <w:t>2023</w:t>
      </w:r>
      <w:r>
        <w:rPr>
          <w:sz w:val="28"/>
        </w:rPr>
        <w:t xml:space="preserve"> </w:t>
      </w:r>
      <w:r>
        <w:rPr>
          <w:sz w:val="28"/>
        </w:rPr>
        <w:t xml:space="preserve">года </w:t>
      </w:r>
      <w:r>
        <w:rPr>
          <w:rFonts w:ascii="Times New Roman" w:hAnsi="Times New Roman"/>
          <w:sz w:val="28"/>
        </w:rPr>
        <w:t>проект решения Совета муниципального образования Выселковский район «</w:t>
      </w:r>
      <w:r>
        <w:rPr>
          <w:rFonts w:ascii="Times New Roman" w:hAnsi="Times New Roman"/>
          <w:sz w:val="28"/>
        </w:rPr>
        <w:t>Об утверждении Положения о муниципальном земельном контроле на территории муниципального образования Выселковский район»</w:t>
      </w:r>
      <w:r>
        <w:rPr>
          <w:sz w:val="28"/>
        </w:rPr>
        <w:t xml:space="preserve">  (далее – Проект решения Совета), направленный для подготовки настоящего Заключения </w:t>
      </w:r>
      <w:r>
        <w:rPr>
          <w:sz w:val="28"/>
        </w:rPr>
        <w:t xml:space="preserve">отделом экономического развития, инвестиций и малого бизнеса </w:t>
      </w:r>
      <w:r>
        <w:rPr>
          <w:sz w:val="28"/>
        </w:rPr>
        <w:t>администрации муниципального образования Выселковский район</w:t>
      </w:r>
      <w:r>
        <w:rPr>
          <w:sz w:val="28"/>
        </w:rPr>
        <w:t xml:space="preserve"> (далее – Разработчик), и сообщает следующее.</w:t>
      </w:r>
    </w:p>
    <w:p w14:paraId="0D000000">
      <w:pPr>
        <w:ind w:firstLine="708" w:left="0"/>
        <w:jc w:val="both"/>
        <w:rPr>
          <w:sz w:val="28"/>
        </w:rPr>
      </w:pPr>
      <w:r>
        <w:rPr>
          <w:sz w:val="28"/>
        </w:rPr>
        <w:t>В соответствии с Порядком проведения оценки регулирующего воздейс</w:t>
      </w:r>
      <w:r>
        <w:rPr>
          <w:sz w:val="28"/>
        </w:rPr>
        <w:t>т</w:t>
      </w:r>
      <w:r>
        <w:rPr>
          <w:sz w:val="28"/>
        </w:rPr>
        <w:t>вия проектов муниципальных нормативных правовых актов муниципального образования Выселковский рай</w:t>
      </w:r>
      <w:r>
        <w:rPr>
          <w:sz w:val="28"/>
        </w:rPr>
        <w:t>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</w:t>
      </w:r>
      <w:r>
        <w:rPr>
          <w:sz w:val="28"/>
        </w:rPr>
        <w:t>и</w:t>
      </w:r>
      <w:r>
        <w:rPr>
          <w:sz w:val="28"/>
        </w:rPr>
        <w:t>ческой деятельности, обязанности для субъектов инвестиционной деятельн</w:t>
      </w:r>
      <w:r>
        <w:rPr>
          <w:sz w:val="28"/>
        </w:rPr>
        <w:t>о</w:t>
      </w:r>
      <w:r>
        <w:rPr>
          <w:sz w:val="28"/>
        </w:rPr>
        <w:t>сти, утвержденным постановлением администрации муни</w:t>
      </w:r>
      <w:r>
        <w:rPr>
          <w:sz w:val="28"/>
        </w:rPr>
        <w:t>ципального образов</w:t>
      </w:r>
      <w:r>
        <w:rPr>
          <w:sz w:val="28"/>
        </w:rPr>
        <w:t>а</w:t>
      </w:r>
      <w:r>
        <w:rPr>
          <w:sz w:val="28"/>
        </w:rPr>
        <w:t xml:space="preserve">ния Выселковский район от 04 марта </w:t>
      </w:r>
      <w:r>
        <w:rPr>
          <w:sz w:val="28"/>
        </w:rPr>
        <w:t>2022 г</w:t>
      </w:r>
      <w:r>
        <w:rPr>
          <w:sz w:val="28"/>
        </w:rPr>
        <w:t xml:space="preserve">. № 162 (далее – Порядок) </w:t>
      </w:r>
      <w:r>
        <w:rPr>
          <w:sz w:val="28"/>
        </w:rPr>
        <w:t>Проект решения Совета</w:t>
      </w:r>
      <w:r>
        <w:rPr>
          <w:sz w:val="28"/>
        </w:rPr>
        <w:t xml:space="preserve"> подлежит проведению оценки регулирующего воздействия.</w:t>
      </w:r>
    </w:p>
    <w:p w14:paraId="0E000000">
      <w:pPr>
        <w:ind/>
        <w:jc w:val="both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>Проект решения Совета</w:t>
      </w:r>
      <w:r>
        <w:rPr>
          <w:sz w:val="28"/>
        </w:rPr>
        <w:t xml:space="preserve"> содержит положения, имеющие высокую степень регулирующего воздействия.</w:t>
      </w:r>
    </w:p>
    <w:p w14:paraId="0F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По результатам рассмотрения установлено, что при подготовке </w:t>
      </w:r>
      <w:r>
        <w:rPr>
          <w:rFonts w:ascii="Times New Roman" w:hAnsi="Times New Roman"/>
          <w:sz w:val="28"/>
        </w:rPr>
        <w:t>Проект решения Совета</w:t>
      </w:r>
      <w:r>
        <w:rPr>
          <w:rFonts w:ascii="Times New Roman" w:hAnsi="Times New Roman"/>
          <w:color w:val="000000"/>
          <w:sz w:val="28"/>
        </w:rPr>
        <w:t xml:space="preserve"> тр</w:t>
      </w:r>
      <w:r>
        <w:rPr>
          <w:rFonts w:ascii="Times New Roman" w:hAnsi="Times New Roman"/>
          <w:color w:val="000000"/>
          <w:sz w:val="28"/>
        </w:rPr>
        <w:t>ебования Порядка разработчиком соблюдены.</w:t>
      </w:r>
    </w:p>
    <w:p w14:paraId="10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Проект решения Совета</w:t>
      </w:r>
      <w:r>
        <w:rPr>
          <w:rFonts w:ascii="Times New Roman" w:hAnsi="Times New Roman"/>
          <w:color w:val="000000"/>
          <w:sz w:val="28"/>
        </w:rPr>
        <w:t xml:space="preserve"> н</w:t>
      </w:r>
      <w:r>
        <w:rPr>
          <w:rFonts w:ascii="Times New Roman" w:hAnsi="Times New Roman"/>
          <w:color w:val="000000"/>
          <w:sz w:val="28"/>
        </w:rPr>
        <w:t>аправлен разработчиком для проведения оценки регулирующего воздействия впервые.</w:t>
      </w:r>
    </w:p>
    <w:p w14:paraId="11000000">
      <w:pPr>
        <w:pStyle w:val="Style_3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2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 Разработчиком </w:t>
      </w:r>
      <w:r>
        <w:rPr>
          <w:rFonts w:ascii="Times New Roman" w:hAnsi="Times New Roman"/>
          <w:color w:val="000000"/>
          <w:sz w:val="28"/>
        </w:rPr>
        <w:t xml:space="preserve">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</w:t>
      </w:r>
      <w:r>
        <w:rPr>
          <w:color w:val="000000"/>
          <w:sz w:val="28"/>
        </w:rPr>
        <w:t xml:space="preserve"> </w:t>
      </w:r>
    </w:p>
    <w:p w14:paraId="13000000">
      <w:pPr>
        <w:ind/>
        <w:jc w:val="both"/>
        <w:rPr>
          <w:sz w:val="28"/>
        </w:rPr>
      </w:pPr>
      <w:r>
        <w:tab/>
      </w:r>
      <w:r>
        <w:rPr>
          <w:sz w:val="28"/>
        </w:rPr>
        <w:t>Проведена оценка эффективности предлагаемого варианта правового р</w:t>
      </w:r>
      <w:r>
        <w:rPr>
          <w:sz w:val="28"/>
        </w:rPr>
        <w:t>е</w:t>
      </w:r>
      <w:r>
        <w:rPr>
          <w:sz w:val="28"/>
        </w:rPr>
        <w:t>гулирования, основанного на сведениях, содержащихся в соответствующих разделах сводного отчета, и установлено следующее:</w:t>
      </w:r>
    </w:p>
    <w:p w14:paraId="14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5000000">
      <w:pPr>
        <w:pStyle w:val="Style_4"/>
        <w:ind/>
        <w:jc w:val="both"/>
        <w:rPr>
          <w:rFonts w:ascii="Times New Roman" w:hAnsi="Times New Roman"/>
          <w:sz w:val="28"/>
        </w:rPr>
      </w:pPr>
      <w:r>
        <w:t xml:space="preserve">    –</w:t>
      </w:r>
      <w:r>
        <w:rPr>
          <w:rFonts w:ascii="Times New Roman" w:hAnsi="Times New Roman"/>
          <w:sz w:val="28"/>
        </w:rPr>
        <w:t xml:space="preserve"> разработчиком определены потенциальные адресаты предлагаемого правового регулирования, дана их количественная оценка; </w:t>
      </w:r>
    </w:p>
    <w:p w14:paraId="16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sz w:val="28"/>
        </w:rPr>
        <w:t>цель предлагаемого проектом правового регулирования определена об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ективно</w:t>
      </w:r>
      <w:r>
        <w:rPr>
          <w:rFonts w:ascii="Times New Roman" w:hAnsi="Times New Roman"/>
          <w:color w:val="000000"/>
          <w:sz w:val="28"/>
        </w:rPr>
        <w:t>;</w:t>
      </w:r>
    </w:p>
    <w:p w14:paraId="17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сроки достижения заявленных целей правового регулирования – с момента принятия </w:t>
      </w:r>
      <w:r>
        <w:rPr>
          <w:rFonts w:ascii="Times New Roman" w:hAnsi="Times New Roman"/>
          <w:sz w:val="28"/>
        </w:rPr>
        <w:t xml:space="preserve"> решения Совета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(декабрь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2023</w:t>
      </w:r>
      <w:r>
        <w:rPr>
          <w:rFonts w:ascii="Times New Roman" w:hAnsi="Times New Roman"/>
          <w:color w:val="000000"/>
          <w:sz w:val="28"/>
        </w:rPr>
        <w:t>г.</w:t>
      </w:r>
      <w:r>
        <w:rPr>
          <w:rFonts w:ascii="Times New Roman" w:hAnsi="Times New Roman"/>
          <w:color w:val="000000"/>
          <w:sz w:val="28"/>
        </w:rPr>
        <w:t>)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sz w:val="28"/>
        </w:rPr>
        <w:t>в связи с чем отсутствует необходимость в последующем мониторинге достижения целей;</w:t>
      </w:r>
    </w:p>
    <w:p w14:paraId="18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дополнительны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расход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местного бюджета (бюджета муниципального образования Выселковский район), связанны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с введением предлагаемого пр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вового регулирования,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 предполагаются</w:t>
      </w:r>
      <w:r>
        <w:rPr>
          <w:rFonts w:ascii="Times New Roman" w:hAnsi="Times New Roman"/>
          <w:sz w:val="28"/>
        </w:rPr>
        <w:t>;</w:t>
      </w:r>
    </w:p>
    <w:p w14:paraId="19000000">
      <w:pPr>
        <w:pStyle w:val="Style_5"/>
        <w:ind/>
        <w:jc w:val="both"/>
        <w:rPr>
          <w:rFonts w:ascii="Times New Roman" w:hAnsi="Times New Roman"/>
          <w:sz w:val="30"/>
        </w:rPr>
      </w:pPr>
      <w:r>
        <w:rPr>
          <w:rFonts w:ascii="Times New Roman" w:hAnsi="Times New Roman"/>
          <w:sz w:val="28"/>
        </w:rPr>
        <w:t xml:space="preserve">    - по мнению разработчика, </w:t>
      </w:r>
      <w:r>
        <w:rPr>
          <w:rFonts w:ascii="Times New Roman" w:hAnsi="Times New Roman"/>
          <w:sz w:val="30"/>
        </w:rPr>
        <w:t>рассчитать размер расходов по группе потенциальных адресатов правового регулирования не представляется возможным, т.к. расходы возможны при выявлении нарушений обязательных требований земельного законодательства</w:t>
      </w:r>
    </w:p>
    <w:p w14:paraId="1A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1B000000">
      <w:pPr>
        <w:ind w:firstLine="743" w:left="0" w:right="-250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установлено сл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дующее: </w:t>
      </w:r>
    </w:p>
    <w:p w14:paraId="1C000000">
      <w:pPr>
        <w:numPr>
          <w:ilvl w:val="0"/>
          <w:numId w:val="1"/>
        </w:num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14:paraId="1D000000">
      <w:pPr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юридические лица, индивидуальные предприниматели, граждане, являющиеся правообладателями земельными участками</w:t>
      </w:r>
      <w:r>
        <w:rPr>
          <w:rFonts w:ascii="Times New Roman" w:hAnsi="Times New Roman"/>
          <w:sz w:val="28"/>
        </w:rPr>
        <w:t xml:space="preserve">. Количественная оценка </w:t>
      </w:r>
      <w:r>
        <w:rPr>
          <w:rFonts w:ascii="Times New Roman" w:hAnsi="Times New Roman"/>
          <w:sz w:val="28"/>
        </w:rPr>
        <w:t xml:space="preserve"> –</w:t>
      </w:r>
      <w:r>
        <w:rPr>
          <w:rFonts w:ascii="Times New Roman" w:hAnsi="Times New Roman"/>
          <w:sz w:val="28"/>
        </w:rPr>
        <w:t xml:space="preserve"> не ограниченно</w:t>
      </w:r>
      <w:r>
        <w:rPr>
          <w:rFonts w:ascii="Times New Roman" w:hAnsi="Times New Roman"/>
          <w:sz w:val="28"/>
        </w:rPr>
        <w:t>.</w:t>
      </w:r>
    </w:p>
    <w:p w14:paraId="1E000000">
      <w:pPr>
        <w:ind/>
        <w:jc w:val="both"/>
        <w:outlineLvl w:val="0"/>
        <w:rPr>
          <w:rFonts w:ascii="Times New Roman" w:hAnsi="Times New Roman"/>
          <w:sz w:val="28"/>
        </w:rPr>
      </w:pPr>
      <w:r>
        <w:rPr>
          <w:sz w:val="28"/>
        </w:rPr>
        <w:t xml:space="preserve">     2. Проблема, на решение которой направлено предлагаемое проектом правовое регулирование, заключается в </w:t>
      </w:r>
      <w:r>
        <w:rPr>
          <w:rFonts w:ascii="Times New Roman" w:hAnsi="Times New Roman"/>
          <w:sz w:val="28"/>
        </w:rPr>
        <w:t xml:space="preserve">несоответствии действующего Положения о муниципальном земельном контроле на территории муниципального образования Выселковский район (далее – Положение о земельном контроле) федеральному законодательству - </w:t>
      </w:r>
      <w:r>
        <w:rPr>
          <w:rFonts w:ascii="Times New Roman" w:hAnsi="Times New Roman"/>
          <w:sz w:val="28"/>
        </w:rPr>
        <w:t xml:space="preserve"> нормам Федерального закона от 31 июля 2020 года № 248-ФЗ «О государственном контроле (надзоре) и муниципальном контроле в Российской Федерации» (далее Федеральный закон № 248-ФЗ), что приводит к  невозможности выполнить полномочия по осуществлению муниципального земельного контроля в части мероприятий, осуществляемых в ходе выездного обследования на общедоступных (открытых для посещения неограниченным кругом лиц) производственных объектах ( в соответствии с ч.3 ст.75 Федерального закона № 248-ФЗ). Также приложение № 3 к Положению о земельном контроле содержит правовую неопределенность относительно того, какие именно отклонения параметров объектов контроля свидетельствуют о высокой степени вероятности нарушений и риска причинения вреда (противоречие ч.9 ст.23 Федерального закона № 248-ФЗ). </w:t>
      </w:r>
      <w:r>
        <w:rPr>
          <w:rFonts w:ascii="Times New Roman" w:hAnsi="Times New Roman"/>
          <w:sz w:val="28"/>
        </w:rPr>
        <w:t xml:space="preserve">  Предполагается утвердить нормативный правовой </w:t>
      </w:r>
      <w:r>
        <w:rPr>
          <w:rFonts w:ascii="Times New Roman" w:hAnsi="Times New Roman"/>
          <w:sz w:val="28"/>
        </w:rPr>
        <w:t>акт  в</w:t>
      </w:r>
      <w:r>
        <w:rPr>
          <w:rFonts w:ascii="Times New Roman" w:hAnsi="Times New Roman"/>
          <w:sz w:val="28"/>
        </w:rPr>
        <w:t xml:space="preserve"> новой редакции.</w:t>
      </w:r>
    </w:p>
    <w:p w14:paraId="1F000000">
      <w:pPr>
        <w:ind/>
        <w:jc w:val="both"/>
        <w:outlineLvl w:val="0"/>
        <w:rPr>
          <w:rFonts w:ascii="Times New Roman" w:hAnsi="Times New Roman"/>
          <w:sz w:val="28"/>
          <w:shd w:fill="FFE779" w:val="clear"/>
        </w:rPr>
      </w:pPr>
    </w:p>
    <w:p w14:paraId="2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Принятие вышеуказанного решения Совета муниципального образования Выселковский район обусловлено необходимостью выполнения Федерального закона от 31 июля 2020 года № 248-ФЗ «О государственном контроле (надзоре) и муниципальном контроле в Российской Федерации».</w:t>
      </w:r>
    </w:p>
    <w:p w14:paraId="2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2000000">
      <w:pPr>
        <w:pStyle w:val="Style_5"/>
        <w:ind w:firstLine="708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val="000000"/>
          <w:sz w:val="28"/>
        </w:rPr>
        <w:t>В целях решения указанной проблемы рассматриваемым проектом предлагается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 xml:space="preserve">привести Положение о земельном контроле в соответствие с действующим законодательством. Предполагается утвердить нормативный правовой </w:t>
      </w:r>
      <w:r>
        <w:rPr>
          <w:rFonts w:ascii="Times New Roman" w:hAnsi="Times New Roman"/>
          <w:color w:themeColor="text1" w:val="000000"/>
          <w:sz w:val="28"/>
        </w:rPr>
        <w:t>акт  в</w:t>
      </w:r>
      <w:r>
        <w:rPr>
          <w:rFonts w:ascii="Times New Roman" w:hAnsi="Times New Roman"/>
          <w:color w:themeColor="text1" w:val="000000"/>
          <w:sz w:val="28"/>
        </w:rPr>
        <w:t xml:space="preserve"> новой редакции.</w:t>
      </w:r>
    </w:p>
    <w:p w14:paraId="23000000">
      <w:pPr>
        <w:pStyle w:val="Style_5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4000000">
      <w:pPr>
        <w:pStyle w:val="Style_3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Цель проекта отвечает принципам правового регулирования, установленным законодательством Российской Федерации и Краснодарского края, и заключается в </w:t>
      </w:r>
      <w:r>
        <w:rPr>
          <w:rFonts w:ascii="Times New Roman" w:hAnsi="Times New Roman"/>
          <w:sz w:val="28"/>
        </w:rPr>
        <w:t>приведении Положения о земельном контроле</w:t>
      </w:r>
      <w:r>
        <w:rPr>
          <w:rFonts w:ascii="Times New Roman" w:hAnsi="Times New Roman"/>
          <w:color w:themeColor="text1" w:val="000000"/>
          <w:sz w:val="28"/>
        </w:rPr>
        <w:t xml:space="preserve"> в соответствие с действующим законодательством с целью осуществления муниципального земельного контроля на территории муниципального образования Выселковский район.</w:t>
      </w:r>
    </w:p>
    <w:p w14:paraId="25000000">
      <w:pPr>
        <w:tabs>
          <w:tab w:leader="none" w:pos="1027" w:val="left"/>
        </w:tabs>
        <w:ind/>
        <w:jc w:val="both"/>
        <w:rPr>
          <w:rFonts w:ascii="Times New Roman" w:hAnsi="Times New Roman"/>
          <w:sz w:val="28"/>
        </w:rPr>
      </w:pPr>
      <w:r>
        <w:rPr>
          <w:sz w:val="28"/>
        </w:rPr>
        <w:t xml:space="preserve">  </w:t>
      </w:r>
      <w:r>
        <w:rPr>
          <w:sz w:val="28"/>
        </w:rPr>
        <w:t xml:space="preserve"> </w:t>
      </w:r>
      <w:r>
        <w:rPr>
          <w:sz w:val="28"/>
        </w:rPr>
        <w:t xml:space="preserve"> 4. </w:t>
      </w:r>
      <w:r>
        <w:rPr>
          <w:sz w:val="28"/>
        </w:rPr>
        <w:t>Проект муниципального нормативного правового акта содержит пол</w:t>
      </w:r>
      <w:r>
        <w:rPr>
          <w:sz w:val="28"/>
        </w:rPr>
        <w:t>о</w:t>
      </w:r>
      <w:r>
        <w:rPr>
          <w:sz w:val="28"/>
        </w:rPr>
        <w:t xml:space="preserve">жения, </w:t>
      </w:r>
      <w:r>
        <w:rPr>
          <w:sz w:val="28"/>
        </w:rPr>
        <w:t xml:space="preserve">устанавливающие новые </w:t>
      </w:r>
      <w:r>
        <w:rPr>
          <w:sz w:val="28"/>
        </w:rPr>
        <w:t>обяза</w:t>
      </w:r>
      <w:r>
        <w:rPr>
          <w:sz w:val="28"/>
        </w:rPr>
        <w:t>нности</w:t>
      </w:r>
      <w:r>
        <w:rPr>
          <w:sz w:val="28"/>
        </w:rPr>
        <w:t xml:space="preserve"> для потенциальных адресатов предлагаемого проектом правового регулирования -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устанавливаются обязанности </w:t>
      </w:r>
      <w:r>
        <w:rPr>
          <w:rFonts w:ascii="Times New Roman" w:hAnsi="Times New Roman"/>
          <w:sz w:val="28"/>
        </w:rPr>
        <w:t>заявителей  по</w:t>
      </w:r>
      <w:r>
        <w:rPr>
          <w:rFonts w:ascii="Times New Roman" w:hAnsi="Times New Roman"/>
          <w:sz w:val="28"/>
        </w:rPr>
        <w:t xml:space="preserve"> соблюдению </w:t>
      </w:r>
      <w:r>
        <w:rPr>
          <w:rFonts w:ascii="Times New Roman" w:hAnsi="Times New Roman"/>
          <w:sz w:val="28"/>
        </w:rPr>
        <w:t>обязательных требований земельного законодательства в отношении объектов земельных отношений, с учетом обновленного перечня индикаторов риска нарушения обязательных требований, проверяемых в рамках осуществления муниципального земельного контроля.</w:t>
      </w:r>
    </w:p>
    <w:p w14:paraId="26000000">
      <w:pPr>
        <w:widowControl w:val="0"/>
        <w:tabs>
          <w:tab w:leader="none" w:pos="709" w:val="left"/>
          <w:tab w:leader="none" w:pos="851" w:val="left"/>
        </w:tabs>
        <w:ind w:firstLine="709" w:left="0"/>
        <w:jc w:val="both"/>
        <w:rPr>
          <w:rFonts w:ascii="Times New Roman" w:hAnsi="Times New Roman"/>
          <w:color w:val="000000"/>
          <w:sz w:val="30"/>
          <w:u w:val="none"/>
        </w:rPr>
      </w:pPr>
      <w:r>
        <w:rPr>
          <w:sz w:val="30"/>
        </w:rPr>
        <w:t>Содержание и порядок реализации полномочий администрации муниципального образования Выселковский район</w:t>
      </w:r>
      <w:r>
        <w:rPr>
          <w:sz w:val="30"/>
        </w:rPr>
        <w:br/>
      </w:r>
      <w:r>
        <w:rPr>
          <w:sz w:val="30"/>
        </w:rPr>
        <w:t xml:space="preserve">в отношениях с указанными субъектами изменяются в части </w:t>
      </w:r>
      <w:r>
        <w:rPr>
          <w:sz w:val="30"/>
        </w:rPr>
        <w:t>полномочий, исполняемых в</w:t>
      </w:r>
      <w:r>
        <w:rPr>
          <w:sz w:val="30"/>
        </w:rPr>
        <w:t xml:space="preserve"> ходе выездного обследования на общедоступных (открытых для посещения неограниченным кругом лиц) производственных объектах, а именно </w:t>
      </w:r>
      <w:r>
        <w:rPr>
          <w:sz w:val="30"/>
        </w:rPr>
        <w:t>в</w:t>
      </w:r>
      <w:r>
        <w:rPr>
          <w:sz w:val="30"/>
        </w:rPr>
        <w:t xml:space="preserve"> ходе выездного обследования</w:t>
      </w:r>
      <w:r>
        <w:rPr>
          <w:sz w:val="30"/>
        </w:rPr>
        <w:t xml:space="preserve"> может осуществляться осмотр, отбор проб (образцов), инструментальное обследование (с применением видеозаписи), испытание, экспертиза.</w:t>
      </w:r>
      <w:r>
        <w:rPr>
          <w:color w:val="000000"/>
          <w:sz w:val="30"/>
          <w:u w:val="none"/>
        </w:rPr>
        <w:t xml:space="preserve"> </w:t>
      </w:r>
    </w:p>
    <w:p w14:paraId="27000000">
      <w:pPr>
        <w:tabs>
          <w:tab w:leader="none" w:pos="1027" w:val="left"/>
        </w:tabs>
        <w:ind w:firstLine="0" w:left="34"/>
        <w:jc w:val="both"/>
        <w:rPr>
          <w:rFonts w:ascii="Times New Roman" w:hAnsi="Times New Roman"/>
          <w:color w:val="000000"/>
          <w:sz w:val="28"/>
        </w:rPr>
      </w:pPr>
      <w:r>
        <w:rPr>
          <w:sz w:val="28"/>
        </w:rPr>
        <w:t xml:space="preserve">      5. </w:t>
      </w:r>
      <w:r>
        <w:rPr>
          <w:sz w:val="28"/>
        </w:rPr>
        <w:t>Риски не достижения целей правового регулирования, а также возмо</w:t>
      </w:r>
      <w:r>
        <w:rPr>
          <w:sz w:val="28"/>
        </w:rPr>
        <w:t>ж</w:t>
      </w:r>
      <w:r>
        <w:rPr>
          <w:sz w:val="28"/>
        </w:rPr>
        <w:t>ные негативные последствия от введения правового регулирования для экон</w:t>
      </w:r>
      <w:r>
        <w:rPr>
          <w:sz w:val="28"/>
        </w:rPr>
        <w:t>о</w:t>
      </w:r>
      <w:r>
        <w:rPr>
          <w:sz w:val="28"/>
        </w:rPr>
        <w:t xml:space="preserve">мического развития муниципального образования Выселковский район </w:t>
      </w:r>
      <w:r>
        <w:rPr>
          <w:rFonts w:ascii="Times New Roman" w:hAnsi="Times New Roman"/>
          <w:color w:val="000000"/>
          <w:sz w:val="28"/>
        </w:rPr>
        <w:t xml:space="preserve">заключаются </w:t>
      </w:r>
      <w:r>
        <w:rPr>
          <w:rFonts w:ascii="Times New Roman" w:hAnsi="Times New Roman"/>
          <w:color w:val="000000"/>
          <w:sz w:val="28"/>
        </w:rPr>
        <w:t>в</w:t>
      </w:r>
      <w:r>
        <w:rPr>
          <w:rFonts w:ascii="Times New Roman" w:hAnsi="Times New Roman"/>
          <w:color w:val="000000"/>
          <w:sz w:val="28"/>
        </w:rPr>
        <w:t xml:space="preserve"> сле</w:t>
      </w:r>
      <w:r>
        <w:rPr>
          <w:rFonts w:ascii="Times New Roman" w:hAnsi="Times New Roman"/>
          <w:color w:val="000000"/>
          <w:sz w:val="28"/>
        </w:rPr>
        <w:t>д</w:t>
      </w:r>
      <w:r>
        <w:rPr>
          <w:rFonts w:ascii="Times New Roman" w:hAnsi="Times New Roman"/>
          <w:color w:val="000000"/>
          <w:sz w:val="28"/>
        </w:rPr>
        <w:t>у</w:t>
      </w:r>
      <w:r>
        <w:rPr>
          <w:rFonts w:ascii="Times New Roman" w:hAnsi="Times New Roman"/>
          <w:color w:val="000000"/>
          <w:sz w:val="28"/>
        </w:rPr>
        <w:t>ющих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несоответстви</w:t>
      </w:r>
      <w:r>
        <w:rPr>
          <w:rFonts w:ascii="Times New Roman" w:hAnsi="Times New Roman"/>
          <w:color w:val="000000"/>
          <w:sz w:val="28"/>
        </w:rPr>
        <w:t>ях</w:t>
      </w:r>
      <w:r>
        <w:rPr>
          <w:rFonts w:ascii="Times New Roman" w:hAnsi="Times New Roman"/>
          <w:color w:val="000000"/>
          <w:sz w:val="28"/>
        </w:rPr>
        <w:t xml:space="preserve"> и неточностях</w:t>
      </w:r>
      <w:r>
        <w:rPr>
          <w:rFonts w:ascii="Times New Roman" w:hAnsi="Times New Roman"/>
          <w:color w:val="000000"/>
          <w:sz w:val="28"/>
        </w:rPr>
        <w:t>:</w:t>
      </w:r>
      <w:r>
        <w:rPr>
          <w:rFonts w:ascii="Times New Roman" w:hAnsi="Times New Roman"/>
          <w:color w:val="000000"/>
          <w:sz w:val="28"/>
        </w:rPr>
        <w:tab/>
      </w:r>
    </w:p>
    <w:p w14:paraId="28000000">
      <w:pPr>
        <w:numPr>
          <w:numId w:val="2"/>
        </w:numPr>
        <w:tabs>
          <w:tab w:leader="none" w:pos="1027" w:val="left"/>
        </w:tabs>
        <w:ind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п. 1.7.1 Положения о земельном контроле 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не учитывает обязанности инспектора, отраженные в п. 5 </w:t>
      </w:r>
      <w:r>
        <w:rPr>
          <w:rFonts w:ascii="Times New Roman" w:hAnsi="Times New Roman"/>
          <w:color w:val="000000"/>
          <w:sz w:val="28"/>
        </w:rPr>
        <w:t xml:space="preserve"> части 1 статьи 29 </w:t>
      </w:r>
      <w:r>
        <w:rPr>
          <w:rFonts w:ascii="Times New Roman" w:hAnsi="Times New Roman"/>
          <w:color w:val="000000"/>
          <w:sz w:val="28"/>
        </w:rPr>
        <w:t>Федерального закона № 248-ФЗ</w:t>
      </w:r>
      <w:r>
        <w:rPr>
          <w:rFonts w:ascii="Times New Roman" w:hAnsi="Times New Roman"/>
          <w:color w:val="000000"/>
          <w:sz w:val="28"/>
        </w:rPr>
        <w:t xml:space="preserve"> в части 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 xml:space="preserve">не препятствия присутствию контролируемых лиц, их представителей, а с согласия контролируемых лиц, их представителей присутствию общественного представителя уполномоченного  по защите прав предпринимателей в муниципальном образовании Выселковский район  при проведении контрольных (надзорных) мероприятий (за исключением контрольных (надзорных) мероприятий, при проведении которых не требуется взаимодействие контрольных (надзорных) органов с контролируемыми лицами) и в случаях, предусмотренных Федеральным законом </w:t>
      </w:r>
      <w:r>
        <w:rPr>
          <w:rFonts w:ascii="Times New Roman" w:hAnsi="Times New Roman"/>
          <w:color w:val="000000"/>
          <w:sz w:val="28"/>
        </w:rPr>
        <w:t>№ 248-ФЗ</w:t>
      </w:r>
      <w:r>
        <w:rPr>
          <w:rFonts w:ascii="Times New Roman" w:hAnsi="Times New Roman"/>
          <w:b w:val="0"/>
          <w:i w:val="0"/>
          <w:caps w:val="0"/>
          <w:color w:val="000000"/>
          <w:spacing w:val="0"/>
          <w:sz w:val="28"/>
          <w:highlight w:val="white"/>
        </w:rPr>
        <w:t>, осуществлять консультирование.</w:t>
      </w:r>
    </w:p>
    <w:p w14:paraId="29000000">
      <w:pPr>
        <w:tabs>
          <w:tab w:leader="none" w:pos="1027" w:val="left"/>
        </w:tabs>
        <w:ind w:firstLine="0" w:left="34"/>
        <w:jc w:val="both"/>
        <w:rPr>
          <w:sz w:val="28"/>
        </w:rPr>
      </w:pPr>
    </w:p>
    <w:p w14:paraId="2A000000">
      <w:pPr>
        <w:tabs>
          <w:tab w:leader="none" w:pos="1027" w:val="left"/>
        </w:tabs>
        <w:ind w:firstLine="0" w:left="34"/>
        <w:jc w:val="both"/>
        <w:rPr>
          <w:rFonts w:ascii="Times New Roman" w:hAnsi="Times New Roman"/>
          <w:sz w:val="28"/>
        </w:rPr>
      </w:pPr>
      <w:r>
        <w:t xml:space="preserve"> </w:t>
      </w:r>
      <w:r>
        <w:rPr>
          <w:sz w:val="28"/>
        </w:rPr>
        <w:t xml:space="preserve"> 6. </w:t>
      </w:r>
      <w:r>
        <w:rPr>
          <w:rFonts w:ascii="Times New Roman" w:hAnsi="Times New Roman"/>
          <w:sz w:val="28"/>
        </w:rPr>
        <w:t xml:space="preserve"> 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 и предполагаются в виде затрат на предоставление пакета документов, истребуемых в ходе осуществления мероприятий муниципального земельного контроля.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Рассчитать размер расходов по группе потенциальных адресатов правового регулирования не представляется возможным, т.к. предоставляемый пакет документов зависит от проводимого контрольного мероприятия. </w:t>
      </w:r>
    </w:p>
    <w:p w14:paraId="2B000000">
      <w:pPr>
        <w:tabs>
          <w:tab w:leader="none" w:pos="1027" w:val="left"/>
        </w:tabs>
        <w:ind w:firstLine="0" w:left="3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sz w:val="28"/>
        </w:rPr>
        <w:t xml:space="preserve">    Необоснованные расходы, связанные с регулирующим воздействием проекта, отсутствуют. </w:t>
      </w:r>
    </w:p>
    <w:p w14:paraId="2C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асходы 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>муниципального нормативного правового акта</w:t>
      </w:r>
      <w:r>
        <w:rPr>
          <w:rFonts w:ascii="Times New Roman" w:hAnsi="Times New Roman"/>
          <w:sz w:val="28"/>
        </w:rPr>
        <w:t xml:space="preserve"> -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 предполагаются.</w:t>
      </w:r>
    </w:p>
    <w:p w14:paraId="2D000000">
      <w:pPr>
        <w:pStyle w:val="Style_2"/>
        <w:ind w:firstLine="851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Доходы </w:t>
      </w:r>
      <w:r>
        <w:rPr>
          <w:rFonts w:ascii="Times New Roman" w:hAnsi="Times New Roman"/>
          <w:sz w:val="28"/>
        </w:rPr>
        <w:t xml:space="preserve">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</w:t>
      </w:r>
      <w:r>
        <w:rPr>
          <w:rFonts w:ascii="Times New Roman" w:hAnsi="Times New Roman"/>
          <w:sz w:val="28"/>
        </w:rPr>
        <w:t>получе</w:t>
      </w:r>
      <w:r>
        <w:rPr>
          <w:rFonts w:ascii="Times New Roman" w:hAnsi="Times New Roman"/>
          <w:sz w:val="28"/>
        </w:rPr>
        <w:t xml:space="preserve">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>муниципального нормативного правового акта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не предполагаются</w:t>
      </w:r>
      <w:r>
        <w:rPr>
          <w:rFonts w:ascii="Times New Roman" w:hAnsi="Times New Roman"/>
          <w:sz w:val="28"/>
        </w:rPr>
        <w:t xml:space="preserve">. </w:t>
      </w:r>
    </w:p>
    <w:p w14:paraId="2E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color w:val="000000"/>
          <w:sz w:val="28"/>
        </w:rPr>
        <w:t xml:space="preserve">         7.</w:t>
      </w:r>
      <w:r>
        <w:rPr>
          <w:color w:val="000000"/>
          <w:sz w:val="28"/>
        </w:rPr>
        <w:t>В соответствии с Порядком уполномоченный орган провел    публичные ко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 xml:space="preserve">сультации по проекту в период с </w:t>
      </w:r>
      <w:r>
        <w:rPr>
          <w:color w:val="000000"/>
          <w:sz w:val="28"/>
        </w:rPr>
        <w:t>15</w:t>
      </w:r>
      <w:r>
        <w:rPr>
          <w:color w:val="000000"/>
          <w:sz w:val="28"/>
        </w:rPr>
        <w:t>.11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23</w:t>
      </w:r>
      <w:r>
        <w:rPr>
          <w:color w:val="000000"/>
          <w:sz w:val="28"/>
        </w:rPr>
        <w:t xml:space="preserve"> г. по 28</w:t>
      </w:r>
      <w:r>
        <w:rPr>
          <w:color w:val="000000"/>
          <w:sz w:val="28"/>
        </w:rPr>
        <w:t>.11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23</w:t>
      </w:r>
      <w:r>
        <w:rPr>
          <w:color w:val="000000"/>
          <w:sz w:val="28"/>
        </w:rPr>
        <w:t xml:space="preserve"> г.</w:t>
      </w:r>
    </w:p>
    <w:p w14:paraId="2F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color w:val="000000"/>
          <w:sz w:val="28"/>
        </w:rPr>
        <w:t xml:space="preserve">         8.  </w:t>
      </w:r>
      <w:r>
        <w:rPr>
          <w:sz w:val="28"/>
        </w:rPr>
        <w:t>Информация о проводимых публичных консультациях была размещена на официальном интернет-портале администрации муниципального образования Выселковский район (</w:t>
      </w:r>
      <w:r>
        <w:rPr>
          <w:rStyle w:val="Style_6_ch"/>
          <w:sz w:val="28"/>
        </w:rPr>
        <w:fldChar w:fldCharType="begin"/>
      </w:r>
      <w:r>
        <w:rPr>
          <w:rStyle w:val="Style_6_ch"/>
          <w:sz w:val="28"/>
        </w:rPr>
        <w:instrText>HYPERLINK "http://viselki.net"</w:instrText>
      </w:r>
      <w:r>
        <w:rPr>
          <w:rStyle w:val="Style_6_ch"/>
          <w:sz w:val="28"/>
        </w:rPr>
        <w:fldChar w:fldCharType="separate"/>
      </w:r>
      <w:r>
        <w:rPr>
          <w:rStyle w:val="Style_6_ch"/>
          <w:sz w:val="28"/>
        </w:rPr>
        <w:t>http</w:t>
      </w:r>
      <w:r>
        <w:rPr>
          <w:rStyle w:val="Style_6_ch"/>
          <w:sz w:val="28"/>
        </w:rPr>
        <w:t>://</w:t>
      </w:r>
      <w:r>
        <w:rPr>
          <w:rStyle w:val="Style_6_ch"/>
          <w:sz w:val="28"/>
        </w:rPr>
        <w:t>viselki</w:t>
      </w:r>
      <w:r>
        <w:rPr>
          <w:rStyle w:val="Style_6_ch"/>
          <w:sz w:val="28"/>
        </w:rPr>
        <w:t>.</w:t>
      </w:r>
      <w:r>
        <w:rPr>
          <w:rStyle w:val="Style_6_ch"/>
          <w:sz w:val="28"/>
        </w:rPr>
        <w:t>net</w:t>
      </w:r>
      <w:r>
        <w:rPr>
          <w:rStyle w:val="Style_6_ch"/>
          <w:sz w:val="28"/>
        </w:rPr>
        <w:fldChar w:fldCharType="end"/>
      </w:r>
      <w:r>
        <w:rPr>
          <w:sz w:val="28"/>
        </w:rPr>
        <w:t>).</w:t>
      </w:r>
    </w:p>
    <w:p w14:paraId="30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данный проект был направлен на рассмотрение в адрес</w:t>
      </w:r>
      <w:r>
        <w:rPr>
          <w:rFonts w:ascii="Times New Roman" w:hAnsi="Times New Roman"/>
          <w:sz w:val="28"/>
        </w:rPr>
        <w:t xml:space="preserve"> Выселковской торгово-промышленной палаты, общественному представителю уполномоченного по защите прав предпринимателей в муниципальном образовании Выселковский район.</w:t>
      </w:r>
    </w:p>
    <w:p w14:paraId="31000000">
      <w:pPr>
        <w:tabs>
          <w:tab w:leader="none" w:pos="1168" w:val="left"/>
          <w:tab w:leader="none" w:pos="1354" w:val="left"/>
        </w:tabs>
        <w:ind/>
        <w:jc w:val="both"/>
        <w:rPr>
          <w:color w:val="000000"/>
          <w:sz w:val="28"/>
        </w:rPr>
      </w:pPr>
      <w:r>
        <w:rPr>
          <w:sz w:val="28"/>
        </w:rPr>
        <w:t xml:space="preserve">      9. </w:t>
      </w:r>
      <w:r>
        <w:rPr>
          <w:sz w:val="28"/>
        </w:rPr>
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</w:r>
      <w:r>
        <w:rPr>
          <w:sz w:val="28"/>
        </w:rPr>
        <w:t>от Выселковской торгово-промышленной палаты, общественного представителя уполномоченного по защите прав предпринимателей в муниципальном образовании Выселковский район</w:t>
      </w:r>
      <w:r>
        <w:rPr>
          <w:sz w:val="28"/>
        </w:rPr>
        <w:t xml:space="preserve"> не поступило. </w:t>
      </w:r>
    </w:p>
    <w:p w14:paraId="32000000">
      <w:pPr>
        <w:ind w:firstLine="851" w:left="0"/>
        <w:jc w:val="both"/>
        <w:rPr>
          <w:sz w:val="28"/>
        </w:rPr>
      </w:pPr>
      <w:r>
        <w:rPr>
          <w:color w:val="000000"/>
          <w:sz w:val="28"/>
        </w:rPr>
        <w:t xml:space="preserve">10. </w:t>
      </w:r>
      <w:r>
        <w:rPr>
          <w:sz w:val="28"/>
        </w:rPr>
        <w:t>По результатам оценки регулирующего воздействия сделаны выводы о наличии в представленном проекте нормативного правового акта положений, указанных в пункте 4.1 Порядка, и о невозможности его дальнейшего согласования.</w:t>
      </w:r>
    </w:p>
    <w:p w14:paraId="33000000">
      <w:pPr>
        <w:ind w:firstLine="851" w:left="0"/>
        <w:jc w:val="both"/>
        <w:rPr>
          <w:sz w:val="28"/>
        </w:rPr>
      </w:pPr>
      <w:r>
        <w:rPr>
          <w:sz w:val="28"/>
        </w:rPr>
        <w:t>Исходя из вышеизложенного, уполномоченный орган возвращает разработчику проект муниципального нормативного правового акта на доработку.</w:t>
      </w:r>
    </w:p>
    <w:p w14:paraId="34000000">
      <w:pPr>
        <w:ind w:firstLine="851" w:left="0"/>
        <w:jc w:val="both"/>
        <w:rPr>
          <w:sz w:val="28"/>
        </w:rPr>
      </w:pPr>
    </w:p>
    <w:p w14:paraId="35000000">
      <w:pPr>
        <w:rPr>
          <w:sz w:val="28"/>
        </w:rPr>
      </w:pPr>
      <w:r>
        <w:rPr>
          <w:sz w:val="28"/>
        </w:rPr>
        <w:t>Первый заместитель главы</w:t>
      </w:r>
    </w:p>
    <w:p w14:paraId="36000000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37000000">
      <w:pPr>
        <w:rPr>
          <w:sz w:val="28"/>
        </w:rPr>
      </w:pPr>
      <w:r>
        <w:rPr>
          <w:sz w:val="28"/>
        </w:rPr>
        <w:t>Выселковский район                                                                          Т.П.Коробова</w:t>
      </w:r>
    </w:p>
    <w:p w14:paraId="38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</w:t>
      </w:r>
    </w:p>
    <w:p w14:paraId="39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                                                                                                                 05</w:t>
      </w:r>
      <w:r>
        <w:rPr>
          <w:color w:val="000000"/>
          <w:sz w:val="28"/>
        </w:rPr>
        <w:t>.12</w:t>
      </w:r>
      <w:r>
        <w:rPr>
          <w:color w:val="000000"/>
          <w:sz w:val="28"/>
        </w:rPr>
        <w:t>.2023</w:t>
      </w:r>
    </w:p>
    <w:p w14:paraId="3A000000">
      <w:pPr>
        <w:rPr>
          <w:color w:val="000000"/>
          <w:sz w:val="28"/>
        </w:rPr>
      </w:pPr>
      <w:r>
        <w:rPr>
          <w:color w:val="000000"/>
          <w:sz w:val="20"/>
        </w:rPr>
        <w:t xml:space="preserve">Юрова Т.Н. 73502                                                                    </w:t>
      </w:r>
      <w:r>
        <w:rPr>
          <w:color w:val="000000"/>
          <w:sz w:val="20"/>
        </w:rPr>
        <w:t xml:space="preserve">                                                       </w:t>
      </w:r>
    </w:p>
    <w:sectPr>
      <w:pgSz w:h="16848" w:orient="portrait" w:w="11908"/>
      <w:pgMar w:bottom="397" w:footer="709" w:gutter="0" w:header="709" w:left="1701" w:right="397" w:top="39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103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hanging="360" w:left="1823"/>
      </w:pPr>
    </w:lvl>
    <w:lvl w:ilvl="2">
      <w:start w:val="1"/>
      <w:numFmt w:val="lowerRoman"/>
      <w:lvlText w:val="%3."/>
      <w:lvlJc w:val="right"/>
      <w:pPr>
        <w:ind w:hanging="180" w:left="2543"/>
      </w:pPr>
    </w:lvl>
    <w:lvl w:ilvl="3">
      <w:start w:val="1"/>
      <w:numFmt w:val="decimal"/>
      <w:lvlText w:val="%4."/>
      <w:lvlJc w:val="left"/>
      <w:pPr>
        <w:ind w:hanging="360" w:left="3263"/>
      </w:pPr>
    </w:lvl>
    <w:lvl w:ilvl="4">
      <w:start w:val="1"/>
      <w:numFmt w:val="lowerLetter"/>
      <w:lvlText w:val="%5."/>
      <w:lvlJc w:val="left"/>
      <w:pPr>
        <w:ind w:hanging="360" w:left="3983"/>
      </w:pPr>
    </w:lvl>
    <w:lvl w:ilvl="5">
      <w:start w:val="1"/>
      <w:numFmt w:val="lowerRoman"/>
      <w:lvlText w:val="%6."/>
      <w:lvlJc w:val="right"/>
      <w:pPr>
        <w:ind w:hanging="180" w:left="4703"/>
      </w:pPr>
    </w:lvl>
    <w:lvl w:ilvl="6">
      <w:start w:val="1"/>
      <w:numFmt w:val="decimal"/>
      <w:lvlText w:val="%7."/>
      <w:lvlJc w:val="left"/>
      <w:pPr>
        <w:ind w:hanging="360" w:left="5423"/>
      </w:pPr>
    </w:lvl>
    <w:lvl w:ilvl="7">
      <w:start w:val="1"/>
      <w:numFmt w:val="lowerLetter"/>
      <w:lvlText w:val="%8."/>
      <w:lvlJc w:val="left"/>
      <w:pPr>
        <w:ind w:hanging="360" w:left="6143"/>
      </w:pPr>
    </w:lvl>
    <w:lvl w:ilvl="8">
      <w:start w:val="1"/>
      <w:numFmt w:val="lowerRoman"/>
      <w:lvlText w:val="%9."/>
      <w:lvlJc w:val="right"/>
      <w:pPr>
        <w:ind w:hanging="180" w:left="6863"/>
      </w:pPr>
    </w:lvl>
  </w:abstractNum>
  <w:abstractNum w:abstractNumId="1">
    <w:lvl w:ilvl="0">
      <w:numFmt w:val="bullet"/>
      <w:lvlText w:val="-"/>
      <w:pPr>
        <w:ind w:hanging="360" w:left="720"/>
      </w:pPr>
      <w:rPr>
        <w:rFonts w:ascii="Calibri" w:hAnsi="Calibri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-"/>
      <w:pPr>
        <w:ind w:hanging="360" w:left="2880"/>
      </w:pPr>
      <w:rPr>
        <w:rFonts w:ascii="Calibri" w:hAnsi="Calibri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-"/>
      <w:pPr>
        <w:ind w:hanging="360" w:left="5040"/>
      </w:pPr>
      <w:rPr>
        <w:rFonts w:ascii="Calibri" w:hAnsi="Calibri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sz w:val="24"/>
    </w:rPr>
  </w:style>
  <w:style w:default="1" w:styleId="Style_7_ch" w:type="character">
    <w:name w:val="Normal"/>
    <w:link w:val="Style_7"/>
    <w:rPr>
      <w:sz w:val="24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3" w:type="paragraph">
    <w:name w:val="ConsPlusNormal"/>
    <w:link w:val="Style_3_ch"/>
    <w:pPr>
      <w:widowControl w:val="0"/>
      <w:ind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header"/>
    <w:basedOn w:val="Style_7"/>
    <w:link w:val="Style_13_ch"/>
    <w:pPr>
      <w:tabs>
        <w:tab w:leader="none" w:pos="4677" w:val="center"/>
        <w:tab w:leader="none" w:pos="9355" w:val="right"/>
      </w:tabs>
      <w:ind/>
    </w:pPr>
  </w:style>
  <w:style w:styleId="Style_13_ch" w:type="character">
    <w:name w:val="header"/>
    <w:basedOn w:val="Style_7_ch"/>
    <w:link w:val="Style_13"/>
  </w:style>
  <w:style w:styleId="Style_14" w:type="paragraph">
    <w:name w:val="Основной текст1"/>
    <w:basedOn w:val="Style_7"/>
    <w:link w:val="Style_14_ch"/>
    <w:pPr>
      <w:widowControl w:val="0"/>
      <w:spacing w:before="300" w:line="322" w:lineRule="exact"/>
      <w:ind/>
      <w:jc w:val="both"/>
    </w:pPr>
    <w:rPr>
      <w:color w:val="000000"/>
      <w:sz w:val="27"/>
    </w:rPr>
  </w:style>
  <w:style w:styleId="Style_14_ch" w:type="character">
    <w:name w:val="Основной текст1"/>
    <w:basedOn w:val="Style_7_ch"/>
    <w:link w:val="Style_14"/>
    <w:rPr>
      <w:color w:val="000000"/>
      <w:sz w:val="27"/>
    </w:rPr>
  </w:style>
  <w:style w:styleId="Style_15" w:type="paragraph">
    <w:name w:val="formattext"/>
    <w:basedOn w:val="Style_7"/>
    <w:link w:val="Style_15_ch"/>
    <w:pPr>
      <w:spacing w:afterAutospacing="on" w:beforeAutospacing="on"/>
      <w:ind/>
    </w:pPr>
  </w:style>
  <w:style w:styleId="Style_15_ch" w:type="character">
    <w:name w:val="formattext"/>
    <w:basedOn w:val="Style_7_ch"/>
    <w:link w:val="Style_15"/>
  </w:style>
  <w:style w:styleId="Style_16" w:type="paragraph">
    <w:name w:val="toc 3"/>
    <w:next w:val="Style_7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ConsPlusTitle"/>
    <w:link w:val="Style_17_ch"/>
    <w:pPr>
      <w:widowControl w:val="0"/>
      <w:ind/>
    </w:pPr>
    <w:rPr>
      <w:b w:val="1"/>
      <w:sz w:val="24"/>
    </w:rPr>
  </w:style>
  <w:style w:styleId="Style_17_ch" w:type="character">
    <w:name w:val="ConsPlusTitle"/>
    <w:link w:val="Style_17"/>
    <w:rPr>
      <w:b w:val="1"/>
      <w:sz w:val="24"/>
    </w:rPr>
  </w:style>
  <w:style w:styleId="Style_18" w:type="paragraph">
    <w:name w:val="heading 5"/>
    <w:next w:val="Style_7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5" w:type="paragraph">
    <w:name w:val="ConsPlusNonformat"/>
    <w:link w:val="Style_5_ch"/>
    <w:pPr>
      <w:widowControl w:val="0"/>
      <w:ind/>
    </w:pPr>
    <w:rPr>
      <w:rFonts w:ascii="Courier New" w:hAnsi="Courier New"/>
    </w:rPr>
  </w:style>
  <w:style w:styleId="Style_5_ch" w:type="character">
    <w:name w:val="ConsPlusNonformat"/>
    <w:link w:val="Style_5"/>
    <w:rPr>
      <w:rFonts w:ascii="Courier New" w:hAnsi="Courier New"/>
    </w:rPr>
  </w:style>
  <w:style w:styleId="Style_1" w:type="paragraph">
    <w:name w:val="heading 1"/>
    <w:basedOn w:val="Style_7"/>
    <w:next w:val="Style_7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7_ch"/>
    <w:link w:val="Style_1"/>
    <w:rPr>
      <w:b w:val="1"/>
      <w:color w:val="000000"/>
      <w:spacing w:val="-16"/>
      <w:sz w:val="28"/>
    </w:rPr>
  </w:style>
  <w:style w:styleId="Style_6" w:type="paragraph">
    <w:name w:val="Hyperlink"/>
    <w:link w:val="Style_6_ch"/>
    <w:rPr>
      <w:color w:val="0000FF"/>
      <w:u w:val="single"/>
    </w:rPr>
  </w:style>
  <w:style w:styleId="Style_6_ch" w:type="character">
    <w:name w:val="Hyperlink"/>
    <w:link w:val="Style_6"/>
    <w:rPr>
      <w:color w:val="0000FF"/>
      <w:u w:val="single"/>
    </w:rPr>
  </w:style>
  <w:style w:styleId="Style_19" w:type="paragraph">
    <w:name w:val="Footnote"/>
    <w:basedOn w:val="Style_7"/>
    <w:link w:val="Style_19_ch"/>
    <w:rPr>
      <w:rFonts w:ascii="Calibri" w:hAnsi="Calibri"/>
      <w:sz w:val="20"/>
    </w:rPr>
  </w:style>
  <w:style w:styleId="Style_19_ch" w:type="character">
    <w:name w:val="Footnote"/>
    <w:basedOn w:val="Style_7_ch"/>
    <w:link w:val="Style_19"/>
    <w:rPr>
      <w:rFonts w:ascii="Calibri" w:hAnsi="Calibri"/>
      <w:sz w:val="20"/>
    </w:rPr>
  </w:style>
  <w:style w:styleId="Style_20" w:type="paragraph">
    <w:name w:val="toc 1"/>
    <w:next w:val="Style_7"/>
    <w:link w:val="Style_2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0_ch" w:type="character">
    <w:name w:val="toc 1"/>
    <w:link w:val="Style_20"/>
    <w:rPr>
      <w:rFonts w:ascii="XO Thames" w:hAnsi="XO Thames"/>
      <w:b w:val="1"/>
      <w:sz w:val="28"/>
    </w:rPr>
  </w:style>
  <w:style w:styleId="Style_21" w:type="paragraph">
    <w:name w:val="Header and Footer"/>
    <w:link w:val="Style_21_ch"/>
    <w:pPr>
      <w:spacing w:line="240" w:lineRule="auto"/>
      <w:ind/>
      <w:jc w:val="both"/>
    </w:pPr>
    <w:rPr>
      <w:rFonts w:ascii="XO Thames" w:hAnsi="XO Thames"/>
      <w:sz w:val="20"/>
    </w:rPr>
  </w:style>
  <w:style w:styleId="Style_21_ch" w:type="character">
    <w:name w:val="Header and Footer"/>
    <w:link w:val="Style_21"/>
    <w:rPr>
      <w:rFonts w:ascii="XO Thames" w:hAnsi="XO Thames"/>
      <w:sz w:val="20"/>
    </w:rPr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23" w:type="paragraph">
    <w:name w:val="No Spacing"/>
    <w:link w:val="Style_23_ch"/>
    <w:rPr>
      <w:rFonts w:ascii="Calibri" w:hAnsi="Calibri"/>
      <w:sz w:val="22"/>
    </w:rPr>
  </w:style>
  <w:style w:styleId="Style_23_ch" w:type="character">
    <w:name w:val="No Spacing"/>
    <w:link w:val="Style_23"/>
    <w:rPr>
      <w:rFonts w:ascii="Calibri" w:hAnsi="Calibri"/>
      <w:sz w:val="22"/>
    </w:rPr>
  </w:style>
  <w:style w:styleId="Style_24" w:type="paragraph">
    <w:name w:val="toc 9"/>
    <w:next w:val="Style_7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Гипертекстовая ссылка"/>
    <w:link w:val="Style_25_ch"/>
    <w:rPr>
      <w:b w:val="1"/>
      <w:color w:val="106BBE"/>
    </w:rPr>
  </w:style>
  <w:style w:styleId="Style_25_ch" w:type="character">
    <w:name w:val="Гипертекстовая ссылка"/>
    <w:link w:val="Style_25"/>
    <w:rPr>
      <w:b w:val="1"/>
      <w:color w:val="106BBE"/>
    </w:rPr>
  </w:style>
  <w:style w:styleId="Style_26" w:type="paragraph">
    <w:name w:val="Абзац списка"/>
    <w:basedOn w:val="Style_7"/>
    <w:link w:val="Style_26_ch"/>
    <w:pPr>
      <w:spacing w:after="160" w:line="264" w:lineRule="auto"/>
      <w:ind w:firstLine="0" w:left="720"/>
      <w:contextualSpacing w:val="1"/>
    </w:pPr>
    <w:rPr>
      <w:rFonts w:ascii="Calibri" w:hAnsi="Calibri"/>
      <w:sz w:val="22"/>
    </w:rPr>
  </w:style>
  <w:style w:styleId="Style_26_ch" w:type="character">
    <w:name w:val="Абзац списка"/>
    <w:basedOn w:val="Style_7_ch"/>
    <w:link w:val="Style_26"/>
    <w:rPr>
      <w:rFonts w:ascii="Calibri" w:hAnsi="Calibri"/>
      <w:sz w:val="22"/>
    </w:rPr>
  </w:style>
  <w:style w:styleId="Style_27" w:type="paragraph">
    <w:name w:val="toc 8"/>
    <w:next w:val="Style_7"/>
    <w:link w:val="Style_2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Normal (Web)"/>
    <w:basedOn w:val="Style_7"/>
    <w:link w:val="Style_28_ch"/>
    <w:pPr>
      <w:spacing w:after="119" w:beforeAutospacing="on"/>
      <w:ind/>
    </w:pPr>
  </w:style>
  <w:style w:styleId="Style_28_ch" w:type="character">
    <w:name w:val="Normal (Web)"/>
    <w:basedOn w:val="Style_7_ch"/>
    <w:link w:val="Style_28"/>
  </w:style>
  <w:style w:styleId="Style_2" w:type="paragraph">
    <w:name w:val="Нормальный (таблица)"/>
    <w:basedOn w:val="Style_7"/>
    <w:next w:val="Style_7"/>
    <w:link w:val="Style_2_ch"/>
    <w:pPr>
      <w:widowControl w:val="0"/>
      <w:ind/>
      <w:jc w:val="both"/>
    </w:pPr>
    <w:rPr>
      <w:rFonts w:ascii="Arial" w:hAnsi="Arial"/>
    </w:rPr>
  </w:style>
  <w:style w:styleId="Style_2_ch" w:type="character">
    <w:name w:val="Нормальный (таблица)"/>
    <w:basedOn w:val="Style_7_ch"/>
    <w:link w:val="Style_2"/>
    <w:rPr>
      <w:rFonts w:ascii="Arial" w:hAnsi="Arial"/>
    </w:rPr>
  </w:style>
  <w:style w:styleId="Style_29" w:type="paragraph">
    <w:name w:val="toc 5"/>
    <w:next w:val="Style_7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comment"/>
    <w:basedOn w:val="Style_22"/>
    <w:link w:val="Style_30_ch"/>
  </w:style>
  <w:style w:styleId="Style_30_ch" w:type="character">
    <w:name w:val="comment"/>
    <w:basedOn w:val="Style_22_ch"/>
    <w:link w:val="Style_30"/>
  </w:style>
  <w:style w:styleId="Style_4" w:type="paragraph">
    <w:name w:val="Без интервала"/>
    <w:link w:val="Style_4_ch"/>
    <w:rPr>
      <w:rFonts w:ascii="Calibri" w:hAnsi="Calibri"/>
      <w:sz w:val="22"/>
    </w:rPr>
  </w:style>
  <w:style w:styleId="Style_4_ch" w:type="character">
    <w:name w:val="Без интервала"/>
    <w:link w:val="Style_4"/>
    <w:rPr>
      <w:rFonts w:ascii="Calibri" w:hAnsi="Calibri"/>
      <w:sz w:val="22"/>
    </w:rPr>
  </w:style>
  <w:style w:styleId="Style_31" w:type="paragraph">
    <w:name w:val="footnote reference"/>
    <w:link w:val="Style_31_ch"/>
    <w:rPr>
      <w:vertAlign w:val="superscript"/>
    </w:rPr>
  </w:style>
  <w:style w:styleId="Style_31_ch" w:type="character">
    <w:name w:val="footnote reference"/>
    <w:link w:val="Style_31"/>
    <w:rPr>
      <w:vertAlign w:val="superscript"/>
    </w:rPr>
  </w:style>
  <w:style w:styleId="Style_32" w:type="paragraph">
    <w:name w:val="Subtitle"/>
    <w:next w:val="Style_7"/>
    <w:link w:val="Style_3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2_ch" w:type="character">
    <w:name w:val="Subtitle"/>
    <w:link w:val="Style_32"/>
    <w:rPr>
      <w:rFonts w:ascii="XO Thames" w:hAnsi="XO Thames"/>
      <w:i w:val="1"/>
      <w:sz w:val="24"/>
    </w:rPr>
  </w:style>
  <w:style w:styleId="Style_33" w:type="paragraph">
    <w:name w:val="Title"/>
    <w:next w:val="Style_7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next w:val="Style_7"/>
    <w:link w:val="Style_3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4_ch" w:type="character">
    <w:name w:val="heading 4"/>
    <w:link w:val="Style_34"/>
    <w:rPr>
      <w:rFonts w:ascii="XO Thames" w:hAnsi="XO Thames"/>
      <w:b w:val="1"/>
      <w:sz w:val="24"/>
    </w:rPr>
  </w:style>
  <w:style w:styleId="Style_35" w:type="paragraph">
    <w:name w:val="heading 2"/>
    <w:basedOn w:val="Style_7"/>
    <w:next w:val="Style_7"/>
    <w:link w:val="Style_35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35_ch" w:type="character">
    <w:name w:val="heading 2"/>
    <w:basedOn w:val="Style_7_ch"/>
    <w:link w:val="Style_35"/>
    <w:rPr>
      <w:rFonts w:ascii="Arial" w:hAnsi="Arial"/>
      <w:b w:val="1"/>
      <w:i w:val="1"/>
      <w:sz w:val="28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2023-12-06T14:41:25Z</dcterms:modified>
</cp:coreProperties>
</file>