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ind w:right="-284"/>
        <w:rPr>
          <w:sz w:val="28"/>
        </w:rPr>
      </w:pPr>
      <w:r>
        <w:rPr>
          <w:sz w:val="28"/>
        </w:rPr>
        <w:t xml:space="preserve">                                                                             </w:t>
      </w:r>
      <w:r>
        <w:rPr>
          <w:sz w:val="28"/>
        </w:rPr>
        <w:t xml:space="preserve">Исполняющему обязанности </w:t>
      </w:r>
    </w:p>
    <w:p w14:paraId="02000000">
      <w:pPr>
        <w:ind w:right="-284"/>
        <w:rPr>
          <w:sz w:val="28"/>
        </w:rPr>
      </w:pPr>
      <w:r>
        <w:rPr>
          <w:sz w:val="28"/>
        </w:rPr>
        <w:t xml:space="preserve">                                                                             начальника управления </w:t>
      </w:r>
    </w:p>
    <w:p w14:paraId="03000000">
      <w:pPr>
        <w:ind w:right="-284"/>
        <w:rPr>
          <w:sz w:val="28"/>
        </w:rPr>
      </w:pPr>
      <w:r>
        <w:rPr>
          <w:sz w:val="28"/>
        </w:rPr>
        <w:t xml:space="preserve">                                                                             архитектуры и градостроительства </w:t>
      </w:r>
    </w:p>
    <w:p w14:paraId="04000000">
      <w:pPr>
        <w:ind w:right="-284"/>
        <w:rPr>
          <w:sz w:val="28"/>
        </w:rPr>
      </w:pPr>
      <w:r>
        <w:rPr>
          <w:sz w:val="28"/>
        </w:rPr>
        <w:t xml:space="preserve">                                                                             администрации муниципального </w:t>
      </w:r>
    </w:p>
    <w:p w14:paraId="05000000">
      <w:pPr>
        <w:rPr>
          <w:sz w:val="28"/>
        </w:rPr>
      </w:pPr>
      <w:r>
        <w:rPr>
          <w:sz w:val="28"/>
        </w:rPr>
        <w:t xml:space="preserve">                                                                             образования Выселковский район                                                                 </w:t>
      </w:r>
    </w:p>
    <w:p w14:paraId="06000000">
      <w:r>
        <w:rPr>
          <w:sz w:val="28"/>
        </w:rPr>
        <w:t xml:space="preserve">                                                                             В.</w:t>
      </w:r>
      <w:r>
        <w:rPr>
          <w:sz w:val="28"/>
        </w:rPr>
        <w:t>С. Галиулину</w:t>
      </w:r>
    </w:p>
    <w:p w14:paraId="07000000">
      <w:pPr>
        <w:pStyle w:val="Style_1"/>
        <w:spacing w:before="0"/>
        <w:ind/>
        <w:rPr>
          <w:b w:val="0"/>
          <w:spacing w:val="0"/>
        </w:rPr>
      </w:pPr>
    </w:p>
    <w:p w14:paraId="08000000"/>
    <w:p w14:paraId="09000000"/>
    <w:p w14:paraId="0A000000">
      <w:pPr>
        <w:pStyle w:val="Style_1"/>
        <w:spacing w:before="0"/>
        <w:ind/>
        <w:rPr>
          <w:b w:val="0"/>
          <w:spacing w:val="0"/>
        </w:rPr>
      </w:pPr>
      <w:r>
        <w:rPr>
          <w:b w:val="0"/>
          <w:spacing w:val="0"/>
        </w:rPr>
        <w:t>ЗАКЛЮЧЕНИЕ</w:t>
      </w:r>
      <w:r>
        <w:rPr>
          <w:b w:val="0"/>
          <w:spacing w:val="0"/>
        </w:rPr>
        <w:br/>
      </w:r>
      <w:r>
        <w:rPr>
          <w:b w:val="0"/>
          <w:spacing w:val="0"/>
        </w:rPr>
        <w:t>об оценке регулирующего воздействия</w:t>
      </w:r>
    </w:p>
    <w:p w14:paraId="0B000000">
      <w:pPr>
        <w:ind/>
        <w:jc w:val="center"/>
        <w:rPr>
          <w:sz w:val="28"/>
        </w:rPr>
      </w:pPr>
      <w:r>
        <w:rPr>
          <w:sz w:val="28"/>
        </w:rPr>
        <w:t xml:space="preserve">проекта  </w:t>
      </w:r>
      <w:r>
        <w:rPr>
          <w:sz w:val="28"/>
        </w:rPr>
        <w:t xml:space="preserve">постановления администрации муниципального образования Выселковский </w:t>
      </w:r>
      <w:r>
        <w:rPr>
          <w:sz w:val="28"/>
        </w:rPr>
        <w:t>район «</w:t>
      </w:r>
      <w:r>
        <w:rPr>
          <w:sz w:val="28"/>
        </w:rPr>
        <w:t>Об утверждении административного регламента предоставления муниц</w:t>
      </w:r>
      <w:r>
        <w:rPr>
          <w:sz w:val="28"/>
        </w:rPr>
        <w:t>и</w:t>
      </w:r>
      <w:r>
        <w:rPr>
          <w:sz w:val="28"/>
        </w:rPr>
        <w:t>пальной услуги «</w:t>
      </w:r>
      <w:r>
        <w:rPr>
          <w:sz w:val="28"/>
        </w:rPr>
        <w:t>Выдача разрешения на строительство (в том числе внесение изм</w:t>
      </w:r>
      <w:r>
        <w:rPr>
          <w:sz w:val="28"/>
        </w:rPr>
        <w:t>е</w:t>
      </w:r>
      <w:r>
        <w:rPr>
          <w:sz w:val="28"/>
        </w:rPr>
        <w:t>нений в разрешение на строительство объекта капитального строительства и вн</w:t>
      </w:r>
      <w:r>
        <w:rPr>
          <w:sz w:val="28"/>
        </w:rPr>
        <w:t>е</w:t>
      </w:r>
      <w:r>
        <w:rPr>
          <w:sz w:val="28"/>
        </w:rPr>
        <w:t>сение изменений в разрешение на строительство объекта капитального строител</w:t>
      </w:r>
      <w:r>
        <w:rPr>
          <w:sz w:val="28"/>
        </w:rPr>
        <w:t>ь</w:t>
      </w:r>
      <w:r>
        <w:rPr>
          <w:sz w:val="28"/>
        </w:rPr>
        <w:t>ства в связи с продлением срока действия такого разрешения)»</w:t>
      </w:r>
      <w:r>
        <w:rPr>
          <w:sz w:val="28"/>
        </w:rPr>
        <w:t xml:space="preserve">           </w:t>
      </w:r>
    </w:p>
    <w:p w14:paraId="0C000000">
      <w:pPr>
        <w:ind/>
        <w:jc w:val="both"/>
        <w:rPr>
          <w:sz w:val="28"/>
        </w:rPr>
      </w:pPr>
    </w:p>
    <w:p w14:paraId="0D000000">
      <w:pPr>
        <w:ind/>
        <w:jc w:val="both"/>
        <w:rPr>
          <w:sz w:val="28"/>
        </w:rPr>
      </w:pPr>
      <w:r>
        <w:rPr>
          <w:sz w:val="28"/>
        </w:rPr>
        <w:t xml:space="preserve">           Отделом экономического развития, инвестиций и малого бизнеса администрации муниципального образования Выселковский район</w:t>
      </w:r>
      <w:r>
        <w:rPr>
          <w:sz w:val="28"/>
        </w:rPr>
        <w:t>,</w:t>
      </w:r>
      <w:r>
        <w:rPr>
          <w:sz w:val="28"/>
        </w:rPr>
        <w:t xml:space="preserve"> </w:t>
      </w:r>
      <w:r>
        <w:rPr>
          <w:sz w:val="28"/>
        </w:rPr>
        <w:t>как уполномоченным органом по проведению оценки регулирующего воздействия проектов муниципальных нормативных правовых актов, устанавливающих новые или изменяющих ранее предусмо</w:t>
      </w:r>
      <w:r>
        <w:rPr>
          <w:sz w:val="28"/>
        </w:rPr>
        <w:t>т</w:t>
      </w:r>
      <w:r>
        <w:rPr>
          <w:sz w:val="28"/>
        </w:rPr>
        <w:t>ренные муниципальными нормативными правовыми актами обязательные тр</w:t>
      </w:r>
      <w:r>
        <w:rPr>
          <w:sz w:val="28"/>
        </w:rPr>
        <w:t>е</w:t>
      </w:r>
      <w:r>
        <w:rPr>
          <w:sz w:val="28"/>
        </w:rPr>
        <w:t>бования для субъектов предпринимательской и иной экономической деятельн</w:t>
      </w:r>
      <w:r>
        <w:rPr>
          <w:sz w:val="28"/>
        </w:rPr>
        <w:t>о</w:t>
      </w:r>
      <w:r>
        <w:rPr>
          <w:sz w:val="28"/>
        </w:rPr>
        <w:t>сти, обязанности для</w:t>
      </w:r>
      <w:r>
        <w:rPr>
          <w:sz w:val="28"/>
        </w:rPr>
        <w:t xml:space="preserve"> субъектов инвестицион</w:t>
      </w:r>
      <w:bookmarkStart w:id="1" w:name="_GoBack"/>
      <w:bookmarkEnd w:id="1"/>
      <w:r>
        <w:rPr>
          <w:sz w:val="28"/>
        </w:rPr>
        <w:t>ной деятельности (далее – Упо</w:t>
      </w:r>
      <w:r>
        <w:rPr>
          <w:sz w:val="28"/>
        </w:rPr>
        <w:t>л</w:t>
      </w:r>
      <w:r>
        <w:rPr>
          <w:sz w:val="28"/>
        </w:rPr>
        <w:t>номоченный орган)</w:t>
      </w:r>
      <w:r>
        <w:rPr>
          <w:sz w:val="28"/>
        </w:rPr>
        <w:t xml:space="preserve"> рассмотрен поступивший повторно </w:t>
      </w:r>
      <w:r>
        <w:rPr>
          <w:sz w:val="28"/>
        </w:rPr>
        <w:t>4</w:t>
      </w:r>
      <w:r>
        <w:rPr>
          <w:sz w:val="28"/>
        </w:rPr>
        <w:t xml:space="preserve"> июля</w:t>
      </w:r>
      <w:r>
        <w:rPr>
          <w:sz w:val="28"/>
        </w:rPr>
        <w:t xml:space="preserve"> </w:t>
      </w:r>
      <w:r>
        <w:rPr>
          <w:sz w:val="28"/>
        </w:rPr>
        <w:t>202</w:t>
      </w:r>
      <w:r>
        <w:rPr>
          <w:sz w:val="28"/>
        </w:rPr>
        <w:t>3</w:t>
      </w:r>
      <w:r>
        <w:rPr>
          <w:sz w:val="28"/>
        </w:rPr>
        <w:t xml:space="preserve"> </w:t>
      </w:r>
      <w:r>
        <w:rPr>
          <w:sz w:val="28"/>
        </w:rPr>
        <w:t xml:space="preserve">года проект  </w:t>
      </w:r>
      <w:r>
        <w:rPr>
          <w:sz w:val="28"/>
        </w:rPr>
        <w:t xml:space="preserve">постановления администрации муниципального образования Выселковский район </w:t>
      </w:r>
      <w:r>
        <w:rPr>
          <w:sz w:val="28"/>
        </w:rPr>
        <w:t>«</w:t>
      </w:r>
      <w:r>
        <w:rPr>
          <w:sz w:val="28"/>
        </w:rPr>
        <w:t>Об утверждении административного регламента предоставления муниц</w:t>
      </w:r>
      <w:r>
        <w:rPr>
          <w:sz w:val="28"/>
        </w:rPr>
        <w:t>и</w:t>
      </w:r>
      <w:r>
        <w:rPr>
          <w:sz w:val="28"/>
        </w:rPr>
        <w:t>пальной услуги «</w:t>
      </w:r>
      <w:r>
        <w:rPr>
          <w:sz w:val="28"/>
        </w:rPr>
        <w:t>Выдача разрешения на строительство (в том числе внесение изм</w:t>
      </w:r>
      <w:r>
        <w:rPr>
          <w:sz w:val="28"/>
        </w:rPr>
        <w:t>е</w:t>
      </w:r>
      <w:r>
        <w:rPr>
          <w:sz w:val="28"/>
        </w:rPr>
        <w:t>нений в разрешение на строительство объекта капитального строительства и вн</w:t>
      </w:r>
      <w:r>
        <w:rPr>
          <w:sz w:val="28"/>
        </w:rPr>
        <w:t>е</w:t>
      </w:r>
      <w:r>
        <w:rPr>
          <w:sz w:val="28"/>
        </w:rPr>
        <w:t>сение изменений в разрешение на строительство объекта капитального строител</w:t>
      </w:r>
      <w:r>
        <w:rPr>
          <w:sz w:val="28"/>
        </w:rPr>
        <w:t>ь</w:t>
      </w:r>
      <w:r>
        <w:rPr>
          <w:sz w:val="28"/>
        </w:rPr>
        <w:t>ства в связи с продлением срока действия такого разрешения)»</w:t>
      </w:r>
      <w:r>
        <w:rPr>
          <w:sz w:val="28"/>
        </w:rPr>
        <w:t xml:space="preserve"> </w:t>
      </w:r>
      <w:r>
        <w:rPr>
          <w:sz w:val="28"/>
        </w:rPr>
        <w:t xml:space="preserve"> (далее – Проект), направленный для подготовки настоящего Заключения </w:t>
      </w:r>
      <w:r>
        <w:rPr>
          <w:sz w:val="28"/>
        </w:rPr>
        <w:t>Управлением архитектуры и градостроительства администрации муниципального образования Выселковский район</w:t>
      </w:r>
      <w:r>
        <w:rPr>
          <w:sz w:val="28"/>
        </w:rPr>
        <w:t xml:space="preserve"> (далее – Разработчик), и сообщает следующее.</w:t>
      </w:r>
    </w:p>
    <w:p w14:paraId="0E000000">
      <w:pPr>
        <w:ind w:firstLine="708" w:left="0"/>
        <w:jc w:val="both"/>
        <w:rPr>
          <w:sz w:val="28"/>
        </w:rPr>
      </w:pPr>
      <w:r>
        <w:rPr>
          <w:sz w:val="28"/>
        </w:rPr>
        <w:t>В соответстви</w:t>
      </w:r>
      <w:r>
        <w:rPr>
          <w:sz w:val="28"/>
        </w:rPr>
        <w:t>е</w:t>
      </w:r>
      <w:r>
        <w:rPr>
          <w:sz w:val="28"/>
        </w:rPr>
        <w:t xml:space="preserve"> с Порядком проведения оценки регулирующего воздейс</w:t>
      </w:r>
      <w:r>
        <w:rPr>
          <w:sz w:val="28"/>
        </w:rPr>
        <w:t>т</w:t>
      </w:r>
      <w:r>
        <w:rPr>
          <w:sz w:val="28"/>
        </w:rPr>
        <w:t>вия проектов муниципальных нормативных правовых актов муниципального образования Выселковский рай</w:t>
      </w:r>
      <w:r>
        <w:rPr>
          <w:sz w:val="28"/>
        </w:rPr>
        <w:t>он,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</w:t>
      </w:r>
      <w:r>
        <w:rPr>
          <w:sz w:val="28"/>
        </w:rPr>
        <w:t>и</w:t>
      </w:r>
      <w:r>
        <w:rPr>
          <w:sz w:val="28"/>
        </w:rPr>
        <w:t>ческой деятельности, обязанности для субъектов инвестиционной деятельн</w:t>
      </w:r>
      <w:r>
        <w:rPr>
          <w:sz w:val="28"/>
        </w:rPr>
        <w:t>о</w:t>
      </w:r>
      <w:r>
        <w:rPr>
          <w:sz w:val="28"/>
        </w:rPr>
        <w:t>сти, утвержденным постановлением администрации муни</w:t>
      </w:r>
      <w:r>
        <w:rPr>
          <w:sz w:val="28"/>
        </w:rPr>
        <w:t>ципального образов</w:t>
      </w:r>
      <w:r>
        <w:rPr>
          <w:sz w:val="28"/>
        </w:rPr>
        <w:t>а</w:t>
      </w:r>
      <w:r>
        <w:rPr>
          <w:sz w:val="28"/>
        </w:rPr>
        <w:t xml:space="preserve">ния Выселковский район от 04 марта </w:t>
      </w:r>
      <w:r>
        <w:rPr>
          <w:sz w:val="28"/>
        </w:rPr>
        <w:t>2022 г</w:t>
      </w:r>
      <w:r>
        <w:rPr>
          <w:sz w:val="28"/>
        </w:rPr>
        <w:t>. № 162 (далее – Порядок) пр</w:t>
      </w:r>
      <w:r>
        <w:rPr>
          <w:sz w:val="28"/>
        </w:rPr>
        <w:t>о</w:t>
      </w:r>
      <w:r>
        <w:rPr>
          <w:sz w:val="28"/>
        </w:rPr>
        <w:t>ект подлежит проведению оценки регулирующего воздействия.</w:t>
      </w:r>
    </w:p>
    <w:p w14:paraId="0F000000">
      <w:pPr>
        <w:ind/>
        <w:jc w:val="both"/>
        <w:rPr>
          <w:sz w:val="28"/>
        </w:rPr>
      </w:pPr>
      <w:r>
        <w:rPr>
          <w:sz w:val="28"/>
        </w:rPr>
        <w:t xml:space="preserve">           Проект содержит положения, имеющие </w:t>
      </w:r>
      <w:r>
        <w:rPr>
          <w:sz w:val="28"/>
        </w:rPr>
        <w:t>высокую</w:t>
      </w:r>
      <w:r>
        <w:rPr>
          <w:sz w:val="28"/>
        </w:rPr>
        <w:t xml:space="preserve"> степень регулирующего воздействия.</w:t>
      </w:r>
    </w:p>
    <w:p w14:paraId="10000000">
      <w:pPr>
        <w:pStyle w:val="Style_2"/>
        <w:ind w:firstLine="743" w:left="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По результатам рассмотрения установлено, что при подготовке проекта требования Порядка разработчиком соблюдены.</w:t>
      </w:r>
    </w:p>
    <w:p w14:paraId="11000000">
      <w:pPr>
        <w:pStyle w:val="Style_2"/>
        <w:ind w:firstLine="743" w:left="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Проект направлен разработчиком для проведения оценки регулирующего воздействия повторно, после устранения замечаний, отраженных уполномоченным органом в отрицательном заключении от 08.02.2023 года.</w:t>
      </w:r>
    </w:p>
    <w:p w14:paraId="12000000">
      <w:pPr>
        <w:pStyle w:val="Style_3"/>
        <w:ind w:firstLine="54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Проведен анализ результатов исследований, проводимых регулирующим органом с учетом установления полноты рассмотрения регулирующим органом всех возможных вариантов правового регулирования выявленной проблемы, а также эффективности способов решения проблемы в сравнении с действующим на момент проведения процедуры оценки регулирующего воздействия правовым регулированием рассматриваемой сферы общественных отношений.</w:t>
      </w:r>
    </w:p>
    <w:p w14:paraId="13000000">
      <w:pPr>
        <w:ind/>
        <w:jc w:val="both"/>
        <w:rPr>
          <w:sz w:val="28"/>
        </w:rPr>
      </w:pPr>
      <w:r>
        <w:rPr>
          <w:color w:val="000000"/>
          <w:sz w:val="28"/>
        </w:rPr>
        <w:t xml:space="preserve">        Разработчиком предложен один вариант правового регулирования рассматриваемой сферы общественных отношений – принятие</w:t>
      </w:r>
      <w:r>
        <w:rPr>
          <w:sz w:val="28"/>
        </w:rPr>
        <w:t xml:space="preserve">                                                      </w:t>
      </w:r>
      <w:r>
        <w:rPr>
          <w:sz w:val="28"/>
        </w:rPr>
        <w:t xml:space="preserve">постановления администрации муниципального образования Выселковский район </w:t>
      </w:r>
      <w:r>
        <w:rPr>
          <w:sz w:val="28"/>
        </w:rPr>
        <w:t>«</w:t>
      </w:r>
      <w:r>
        <w:rPr>
          <w:sz w:val="28"/>
        </w:rPr>
        <w:t>Об утверждении административного регламента предоставления муниц</w:t>
      </w:r>
      <w:r>
        <w:rPr>
          <w:sz w:val="28"/>
        </w:rPr>
        <w:t>и</w:t>
      </w:r>
      <w:r>
        <w:rPr>
          <w:sz w:val="28"/>
        </w:rPr>
        <w:t>пальной услуги «</w:t>
      </w:r>
      <w:r>
        <w:rPr>
          <w:sz w:val="28"/>
        </w:rPr>
        <w:t>Выдача разрешения на строительство (в том числе внесение изм</w:t>
      </w:r>
      <w:r>
        <w:rPr>
          <w:sz w:val="28"/>
        </w:rPr>
        <w:t>е</w:t>
      </w:r>
      <w:r>
        <w:rPr>
          <w:sz w:val="28"/>
        </w:rPr>
        <w:t>нений в разрешение на строительство объекта капитального строительства и вн</w:t>
      </w:r>
      <w:r>
        <w:rPr>
          <w:sz w:val="28"/>
        </w:rPr>
        <w:t>е</w:t>
      </w:r>
      <w:r>
        <w:rPr>
          <w:sz w:val="28"/>
        </w:rPr>
        <w:t>сение изменений в разрешение на строительство объекта капитального строител</w:t>
      </w:r>
      <w:r>
        <w:rPr>
          <w:sz w:val="28"/>
        </w:rPr>
        <w:t>ь</w:t>
      </w:r>
      <w:r>
        <w:rPr>
          <w:sz w:val="28"/>
        </w:rPr>
        <w:t>ства в связи с продлением срока действия такого разрешения)»</w:t>
      </w:r>
      <w:r>
        <w:rPr>
          <w:sz w:val="28"/>
        </w:rPr>
        <w:t>.</w:t>
      </w:r>
      <w:r>
        <w:rPr>
          <w:sz w:val="28"/>
        </w:rPr>
        <w:t xml:space="preserve"> </w:t>
      </w:r>
    </w:p>
    <w:p w14:paraId="14000000">
      <w:pPr>
        <w:ind/>
        <w:jc w:val="both"/>
        <w:rPr>
          <w:sz w:val="28"/>
        </w:rPr>
      </w:pPr>
      <w:r>
        <w:rPr>
          <w:color w:val="000000"/>
          <w:sz w:val="28"/>
        </w:rPr>
        <w:t xml:space="preserve">         В качестве альтернативного варианта правового регулирования разработчиком рассмотрен только один вариант – непринятие</w:t>
      </w:r>
      <w:r>
        <w:rPr>
          <w:sz w:val="28"/>
        </w:rPr>
        <w:t xml:space="preserve">                                                        </w:t>
      </w:r>
      <w:r>
        <w:rPr>
          <w:sz w:val="28"/>
        </w:rPr>
        <w:t xml:space="preserve">постановления администрации муниципального образования Выселковский район </w:t>
      </w:r>
      <w:r>
        <w:rPr>
          <w:sz w:val="28"/>
        </w:rPr>
        <w:t>«</w:t>
      </w:r>
      <w:r>
        <w:rPr>
          <w:sz w:val="28"/>
        </w:rPr>
        <w:t>Об утверждении административного регламента предоставления муниц</w:t>
      </w:r>
      <w:r>
        <w:rPr>
          <w:sz w:val="28"/>
        </w:rPr>
        <w:t>и</w:t>
      </w:r>
      <w:r>
        <w:rPr>
          <w:sz w:val="28"/>
        </w:rPr>
        <w:t>пальной услуги «</w:t>
      </w:r>
      <w:r>
        <w:rPr>
          <w:sz w:val="28"/>
        </w:rPr>
        <w:t>Выдача разрешения на строительство (в том числе внесение изм</w:t>
      </w:r>
      <w:r>
        <w:rPr>
          <w:sz w:val="28"/>
        </w:rPr>
        <w:t>е</w:t>
      </w:r>
      <w:r>
        <w:rPr>
          <w:sz w:val="28"/>
        </w:rPr>
        <w:t>нений в разрешение на строительство объекта капитального строительства и вн</w:t>
      </w:r>
      <w:r>
        <w:rPr>
          <w:sz w:val="28"/>
        </w:rPr>
        <w:t>е</w:t>
      </w:r>
      <w:r>
        <w:rPr>
          <w:sz w:val="28"/>
        </w:rPr>
        <w:t>сение изменений в разрешение на строительство объекта капитального строител</w:t>
      </w:r>
      <w:r>
        <w:rPr>
          <w:sz w:val="28"/>
        </w:rPr>
        <w:t>ь</w:t>
      </w:r>
      <w:r>
        <w:rPr>
          <w:sz w:val="28"/>
        </w:rPr>
        <w:t>ства в связи с продлением срока действия такого разрешения)»</w:t>
      </w:r>
      <w:r>
        <w:rPr>
          <w:sz w:val="28"/>
        </w:rPr>
        <w:t xml:space="preserve">. </w:t>
      </w:r>
    </w:p>
    <w:p w14:paraId="15000000">
      <w:pPr>
        <w:pStyle w:val="Style_2"/>
        <w:ind w:firstLine="743" w:left="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Проведено сравнение указанных вариантов правового регулирования. Выбор варианта правового регулирования сделан исходя из оценки возможности достижения заявленной цели регулирования и оценки рисков наступления неблагоприятных последствий.</w:t>
      </w:r>
    </w:p>
    <w:p w14:paraId="16000000">
      <w:r>
        <w:tab/>
      </w:r>
      <w:r>
        <w:rPr>
          <w:sz w:val="28"/>
        </w:rPr>
        <w:t>Проведена оценка эффективности предлагаемого варианта правового р</w:t>
      </w:r>
      <w:r>
        <w:rPr>
          <w:sz w:val="28"/>
        </w:rPr>
        <w:t>е</w:t>
      </w:r>
      <w:r>
        <w:rPr>
          <w:sz w:val="28"/>
        </w:rPr>
        <w:t>гулирования, основанного на сведениях, содержащихся в соответствующих разделах сводного отчета, и установлено следующее:</w:t>
      </w:r>
    </w:p>
    <w:p w14:paraId="17000000">
      <w:pPr>
        <w:pStyle w:val="Style_2"/>
        <w:ind w:firstLine="743" w:left="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- проблема, на решение которой направлено правовое регулирование, регулирующим органом сформулирована точно;</w:t>
      </w:r>
    </w:p>
    <w:p w14:paraId="18000000">
      <w:pPr>
        <w:pStyle w:val="Style_4"/>
        <w:ind/>
        <w:jc w:val="both"/>
        <w:rPr>
          <w:rFonts w:ascii="Times New Roman" w:hAnsi="Times New Roman"/>
          <w:sz w:val="28"/>
        </w:rPr>
      </w:pPr>
      <w:r>
        <w:t xml:space="preserve">    </w:t>
      </w:r>
      <w:r>
        <w:rPr>
          <w:rFonts w:ascii="Times New Roman" w:hAnsi="Times New Roman"/>
          <w:sz w:val="28"/>
        </w:rPr>
        <w:t xml:space="preserve">- определены потенциальные адресаты предлагаемого правового регулирования: </w:t>
      </w:r>
    </w:p>
    <w:p w14:paraId="19000000">
      <w:pPr>
        <w:widowControl w:val="0"/>
        <w:ind w:firstLine="720" w:left="0"/>
        <w:jc w:val="both"/>
        <w:outlineLvl w:val="0"/>
        <w:rPr>
          <w:sz w:val="28"/>
        </w:rPr>
      </w:pPr>
      <w:r>
        <w:rPr>
          <w:sz w:val="28"/>
        </w:rPr>
        <w:t>Физические и юридические лица, которые являются застройщиками в соо</w:t>
      </w:r>
      <w:r>
        <w:rPr>
          <w:sz w:val="28"/>
        </w:rPr>
        <w:t>т</w:t>
      </w:r>
      <w:r>
        <w:rPr>
          <w:sz w:val="28"/>
        </w:rPr>
        <w:t>ветствии с действующим градостроительным законодательством Российской Ф</w:t>
      </w:r>
      <w:r>
        <w:rPr>
          <w:sz w:val="28"/>
        </w:rPr>
        <w:t>е</w:t>
      </w:r>
      <w:r>
        <w:rPr>
          <w:sz w:val="28"/>
        </w:rPr>
        <w:t>дерации либо их уполномоченные представители (заявитель, заявители)</w:t>
      </w:r>
      <w:r>
        <w:rPr>
          <w:sz w:val="28"/>
        </w:rPr>
        <w:t xml:space="preserve">;  </w:t>
      </w:r>
    </w:p>
    <w:p w14:paraId="1A000000">
      <w:pPr>
        <w:pStyle w:val="Style_2"/>
        <w:ind w:firstLine="743" w:left="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- количественная оценка потенциальных адресатов правового регулирования –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не </w:t>
      </w:r>
      <w:r>
        <w:rPr>
          <w:rFonts w:ascii="Times New Roman" w:hAnsi="Times New Roman"/>
          <w:sz w:val="28"/>
        </w:rPr>
        <w:t>представляется возможным</w:t>
      </w:r>
      <w:r>
        <w:rPr>
          <w:rFonts w:ascii="Times New Roman" w:hAnsi="Times New Roman"/>
          <w:color w:val="000000"/>
          <w:sz w:val="28"/>
        </w:rPr>
        <w:t>;</w:t>
      </w:r>
    </w:p>
    <w:p w14:paraId="1B000000">
      <w:pPr>
        <w:pStyle w:val="Style_2"/>
        <w:ind w:firstLine="743" w:left="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- </w:t>
      </w:r>
      <w:r>
        <w:rPr>
          <w:rFonts w:ascii="Times New Roman" w:hAnsi="Times New Roman"/>
          <w:sz w:val="28"/>
        </w:rPr>
        <w:t>цель предлагаемого проектом правового регулирования определена об</w:t>
      </w:r>
      <w:r>
        <w:rPr>
          <w:rFonts w:ascii="Times New Roman" w:hAnsi="Times New Roman"/>
          <w:sz w:val="28"/>
        </w:rPr>
        <w:t>ъ</w:t>
      </w:r>
      <w:r>
        <w:rPr>
          <w:rFonts w:ascii="Times New Roman" w:hAnsi="Times New Roman"/>
          <w:sz w:val="28"/>
        </w:rPr>
        <w:t>ективно</w:t>
      </w:r>
      <w:r>
        <w:rPr>
          <w:rFonts w:ascii="Times New Roman" w:hAnsi="Times New Roman"/>
          <w:color w:val="000000"/>
          <w:sz w:val="28"/>
        </w:rPr>
        <w:t>;</w:t>
      </w:r>
    </w:p>
    <w:p w14:paraId="1C000000">
      <w:pPr>
        <w:pStyle w:val="Style_5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- сроки достижения заявленных целей правового регулирования – с момента вступления в силу </w:t>
      </w:r>
      <w:r>
        <w:rPr>
          <w:rFonts w:ascii="Times New Roman" w:hAnsi="Times New Roman"/>
          <w:color w:val="000000"/>
          <w:sz w:val="28"/>
        </w:rPr>
        <w:t>постановления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(</w:t>
      </w:r>
      <w:r>
        <w:rPr>
          <w:rFonts w:ascii="Times New Roman" w:hAnsi="Times New Roman"/>
          <w:color w:val="000000"/>
          <w:sz w:val="28"/>
        </w:rPr>
        <w:t>март</w:t>
      </w:r>
      <w:r>
        <w:rPr>
          <w:rFonts w:ascii="Times New Roman" w:hAnsi="Times New Roman"/>
          <w:color w:val="000000"/>
          <w:sz w:val="28"/>
        </w:rPr>
        <w:t xml:space="preserve"> 202</w:t>
      </w:r>
      <w:r>
        <w:rPr>
          <w:rFonts w:ascii="Times New Roman" w:hAnsi="Times New Roman"/>
          <w:color w:val="000000"/>
          <w:sz w:val="28"/>
        </w:rPr>
        <w:t>3</w:t>
      </w:r>
      <w:r>
        <w:rPr>
          <w:rFonts w:ascii="Times New Roman" w:hAnsi="Times New Roman"/>
          <w:color w:val="000000"/>
          <w:sz w:val="28"/>
        </w:rPr>
        <w:t>г</w:t>
      </w:r>
      <w:r>
        <w:rPr>
          <w:rFonts w:ascii="Times New Roman" w:hAnsi="Times New Roman"/>
          <w:color w:val="000000"/>
          <w:sz w:val="28"/>
        </w:rPr>
        <w:t>, со дня обнародования</w:t>
      </w:r>
      <w:r>
        <w:rPr>
          <w:rFonts w:ascii="Times New Roman" w:hAnsi="Times New Roman"/>
          <w:color w:val="000000"/>
          <w:sz w:val="28"/>
        </w:rPr>
        <w:t>)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sz w:val="28"/>
        </w:rPr>
        <w:t>в связи с чем отсутствует необходимость в последующем мониторинге достижения целей;</w:t>
      </w:r>
    </w:p>
    <w:p w14:paraId="1D000000">
      <w:pPr>
        <w:pStyle w:val="Style_5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дополнительны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 расход</w:t>
      </w:r>
      <w:r>
        <w:rPr>
          <w:rFonts w:ascii="Times New Roman" w:hAnsi="Times New Roman"/>
          <w:sz w:val="28"/>
        </w:rPr>
        <w:t>ы</w:t>
      </w:r>
      <w:r>
        <w:rPr>
          <w:rFonts w:ascii="Times New Roman" w:hAnsi="Times New Roman"/>
          <w:sz w:val="28"/>
        </w:rPr>
        <w:t xml:space="preserve"> местного бюджета (бюджета муниципального образования Выселковский район), связанных с введением предлагаемого пр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вового регулирования</w:t>
      </w:r>
      <w:r>
        <w:rPr>
          <w:rFonts w:ascii="Times New Roman" w:hAnsi="Times New Roman"/>
          <w:sz w:val="28"/>
        </w:rPr>
        <w:t xml:space="preserve">: </w:t>
      </w:r>
      <w:r>
        <w:rPr>
          <w:rFonts w:ascii="Times New Roman" w:hAnsi="Times New Roman"/>
          <w:sz w:val="28"/>
        </w:rPr>
        <w:t>не предполагаются</w:t>
      </w:r>
      <w:r>
        <w:rPr>
          <w:rFonts w:ascii="Times New Roman" w:hAnsi="Times New Roman"/>
          <w:sz w:val="28"/>
        </w:rPr>
        <w:t>;</w:t>
      </w:r>
    </w:p>
    <w:p w14:paraId="1E000000">
      <w:pPr>
        <w:pStyle w:val="Style_5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риски введения предлагаемого правового регулирования – отсутствуют.</w:t>
      </w:r>
    </w:p>
    <w:p w14:paraId="1F000000">
      <w:pPr>
        <w:ind w:firstLine="743" w:left="0" w:right="-250"/>
        <w:rPr>
          <w:color w:val="000000"/>
          <w:sz w:val="28"/>
        </w:rPr>
      </w:pPr>
      <w:r>
        <w:rPr>
          <w:color w:val="000000"/>
          <w:sz w:val="28"/>
        </w:rPr>
        <w:t>В соответствии с Порядком установлено сл</w:t>
      </w:r>
      <w:r>
        <w:rPr>
          <w:color w:val="000000"/>
          <w:sz w:val="28"/>
        </w:rPr>
        <w:t>е</w:t>
      </w:r>
      <w:r>
        <w:rPr>
          <w:color w:val="000000"/>
          <w:sz w:val="28"/>
        </w:rPr>
        <w:t xml:space="preserve">дующее: </w:t>
      </w:r>
    </w:p>
    <w:p w14:paraId="20000000">
      <w:pPr>
        <w:numPr>
          <w:ilvl w:val="0"/>
          <w:numId w:val="1"/>
        </w:numPr>
        <w:tabs>
          <w:tab w:leader="none" w:pos="1027" w:val="left"/>
        </w:tabs>
        <w:ind w:firstLine="743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Потенциальные группы участников общественных отношений, интересы которых будут затронуты правовым регулированием:</w:t>
      </w:r>
    </w:p>
    <w:p w14:paraId="21000000">
      <w:pPr>
        <w:widowControl w:val="0"/>
        <w:ind w:firstLine="720" w:left="0"/>
        <w:jc w:val="both"/>
        <w:outlineLvl w:val="0"/>
        <w:rPr>
          <w:sz w:val="28"/>
          <w:highlight w:val="yellow"/>
        </w:rPr>
      </w:pPr>
      <w:r>
        <w:rPr>
          <w:sz w:val="28"/>
        </w:rPr>
        <w:t>Физические и юридические лица, которые являются застройщиками в соо</w:t>
      </w:r>
      <w:r>
        <w:rPr>
          <w:sz w:val="28"/>
        </w:rPr>
        <w:t>т</w:t>
      </w:r>
      <w:r>
        <w:rPr>
          <w:sz w:val="28"/>
        </w:rPr>
        <w:t>ветствии с действующим градостроительным законодательством Российской Ф</w:t>
      </w:r>
      <w:r>
        <w:rPr>
          <w:sz w:val="28"/>
        </w:rPr>
        <w:t>е</w:t>
      </w:r>
      <w:r>
        <w:rPr>
          <w:sz w:val="28"/>
        </w:rPr>
        <w:t>дерации либо их уполномоченные представители (заявитель, заявители).</w:t>
      </w:r>
    </w:p>
    <w:p w14:paraId="22000000">
      <w:pPr>
        <w:ind/>
        <w:jc w:val="both"/>
        <w:outlineLvl w:val="0"/>
        <w:rPr>
          <w:sz w:val="28"/>
        </w:rPr>
      </w:pPr>
      <w:r>
        <w:rPr>
          <w:sz w:val="28"/>
        </w:rPr>
        <w:t xml:space="preserve">       2. Проблема, на решение которой направлено предлагаемое проектом правовое регулирование:</w:t>
      </w:r>
    </w:p>
    <w:p w14:paraId="23000000">
      <w:pPr>
        <w:widowControl w:val="0"/>
        <w:ind w:firstLine="709" w:left="0"/>
        <w:jc w:val="both"/>
        <w:rPr>
          <w:sz w:val="28"/>
        </w:rPr>
      </w:pPr>
      <w:r>
        <w:rPr>
          <w:sz w:val="28"/>
        </w:rPr>
        <w:t>Невозможность предоставления муниципальной услуги «</w:t>
      </w:r>
      <w:r>
        <w:rPr>
          <w:sz w:val="28"/>
        </w:rPr>
        <w:t>Выдача разрешения на строительство (в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разрешения)</w:t>
      </w:r>
      <w:r>
        <w:rPr>
          <w:sz w:val="28"/>
        </w:rPr>
        <w:t>».</w:t>
      </w:r>
    </w:p>
    <w:p w14:paraId="24000000">
      <w:pPr>
        <w:widowControl w:val="0"/>
        <w:ind w:firstLine="709" w:left="0"/>
        <w:jc w:val="both"/>
        <w:outlineLvl w:val="0"/>
        <w:rPr>
          <w:sz w:val="28"/>
        </w:rPr>
      </w:pPr>
      <w:r>
        <w:rPr>
          <w:sz w:val="28"/>
        </w:rPr>
        <w:t>Административный регламент предоставления администрацией муниципал</w:t>
      </w:r>
      <w:r>
        <w:rPr>
          <w:sz w:val="28"/>
        </w:rPr>
        <w:t>ь</w:t>
      </w:r>
      <w:r>
        <w:rPr>
          <w:sz w:val="28"/>
        </w:rPr>
        <w:t>ного образования Выселковский район муниципальной услуги «</w:t>
      </w:r>
      <w:r>
        <w:rPr>
          <w:sz w:val="28"/>
        </w:rPr>
        <w:t>Выдача разрешения на строительство</w:t>
      </w:r>
      <w:r>
        <w:rPr>
          <w:b w:val="1"/>
          <w:sz w:val="28"/>
        </w:rPr>
        <w:t xml:space="preserve"> (</w:t>
      </w:r>
      <w:r>
        <w:rPr>
          <w:sz w:val="28"/>
        </w:rPr>
        <w:t>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разрешения)»</w:t>
      </w:r>
      <w:r>
        <w:rPr>
          <w:sz w:val="28"/>
        </w:rPr>
        <w:t xml:space="preserve"> (далее – регламент) определяет стандарты, сроки и последовательность административных процедур (действий) предоставления адм</w:t>
      </w:r>
      <w:r>
        <w:rPr>
          <w:sz w:val="28"/>
        </w:rPr>
        <w:t>и</w:t>
      </w:r>
      <w:r>
        <w:rPr>
          <w:sz w:val="28"/>
        </w:rPr>
        <w:t xml:space="preserve">нистрацией муниципального образования Выселковский район муниципальной услуги по выдаче разрешений на строительство, </w:t>
      </w:r>
      <w:r>
        <w:rPr>
          <w:sz w:val="28"/>
        </w:rPr>
        <w:t>в том числе внесение изменений в разреш</w:t>
      </w:r>
      <w:r>
        <w:rPr>
          <w:sz w:val="28"/>
        </w:rPr>
        <w:t>е</w:t>
      </w:r>
      <w:r>
        <w:rPr>
          <w:sz w:val="28"/>
        </w:rPr>
        <w:t>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</w:t>
      </w:r>
      <w:r>
        <w:rPr>
          <w:sz w:val="28"/>
        </w:rPr>
        <w:t>о</w:t>
      </w:r>
      <w:r>
        <w:rPr>
          <w:sz w:val="28"/>
        </w:rPr>
        <w:t xml:space="preserve">длением срока действия такого разрешения </w:t>
      </w:r>
      <w:r>
        <w:rPr>
          <w:sz w:val="28"/>
        </w:rPr>
        <w:t>(далее – муниципальная услуга).</w:t>
      </w:r>
    </w:p>
    <w:p w14:paraId="25000000">
      <w:pPr>
        <w:pStyle w:val="Style_5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Предусмотренное проектом правовое регулирование иными правовыми, информационными или организационными средствами не представляется возможным.</w:t>
      </w:r>
    </w:p>
    <w:p w14:paraId="26000000">
      <w:pPr>
        <w:widowControl w:val="0"/>
        <w:ind w:firstLine="567" w:left="0"/>
        <w:jc w:val="both"/>
        <w:rPr>
          <w:sz w:val="28"/>
        </w:rPr>
      </w:pPr>
      <w:r>
        <w:rPr>
          <w:sz w:val="28"/>
        </w:rPr>
        <w:t>2.</w:t>
      </w:r>
      <w:r>
        <w:rPr>
          <w:sz w:val="28"/>
        </w:rPr>
        <w:t xml:space="preserve">Цель предлагаемого правового регулирования </w:t>
      </w:r>
      <w:r>
        <w:rPr>
          <w:sz w:val="28"/>
        </w:rPr>
        <w:t>–</w:t>
      </w:r>
      <w:r>
        <w:rPr>
          <w:sz w:val="28"/>
        </w:rPr>
        <w:t xml:space="preserve"> </w:t>
      </w:r>
      <w:r>
        <w:rPr>
          <w:sz w:val="28"/>
        </w:rPr>
        <w:t>предоставление муниципальной услуги «</w:t>
      </w:r>
      <w:r>
        <w:rPr>
          <w:sz w:val="28"/>
        </w:rPr>
        <w:t>Выдача разрешения на строительство</w:t>
      </w:r>
      <w:r>
        <w:rPr>
          <w:b w:val="1"/>
          <w:sz w:val="28"/>
        </w:rPr>
        <w:t xml:space="preserve"> (</w:t>
      </w:r>
      <w:r>
        <w:rPr>
          <w:sz w:val="28"/>
        </w:rPr>
        <w:t>в том числе внесение изменений в разрешение на строительство объекта капитального строительства и внесение и</w:t>
      </w:r>
      <w:r>
        <w:rPr>
          <w:sz w:val="28"/>
        </w:rPr>
        <w:t>з</w:t>
      </w:r>
      <w:r>
        <w:rPr>
          <w:sz w:val="28"/>
        </w:rPr>
        <w:t>менений в разрешение на строительство объекта капитального строительства в связи с продлением срока действия такого разрешения)».</w:t>
      </w:r>
      <w:r>
        <w:rPr>
          <w:sz w:val="28"/>
        </w:rPr>
        <w:t xml:space="preserve"> </w:t>
      </w:r>
    </w:p>
    <w:p w14:paraId="27000000">
      <w:pPr>
        <w:widowControl w:val="0"/>
        <w:tabs>
          <w:tab w:leader="none" w:pos="1134" w:val="left"/>
          <w:tab w:leader="none" w:pos="1276" w:val="left"/>
          <w:tab w:leader="none" w:pos="1418" w:val="left"/>
          <w:tab w:leader="none" w:pos="1560" w:val="left"/>
        </w:tabs>
        <w:ind w:firstLine="567" w:left="0"/>
        <w:jc w:val="both"/>
        <w:rPr>
          <w:sz w:val="28"/>
        </w:rPr>
      </w:pPr>
      <w:r>
        <w:rPr>
          <w:sz w:val="28"/>
        </w:rPr>
        <w:t>Регламент определяет стандарты, сроки и последовательность администр</w:t>
      </w:r>
      <w:r>
        <w:rPr>
          <w:sz w:val="28"/>
        </w:rPr>
        <w:t>а</w:t>
      </w:r>
      <w:r>
        <w:rPr>
          <w:sz w:val="28"/>
        </w:rPr>
        <w:t>тивных процедур (действий) предоставления администрацией муниципального обр</w:t>
      </w:r>
      <w:r>
        <w:rPr>
          <w:sz w:val="28"/>
        </w:rPr>
        <w:t>а</w:t>
      </w:r>
      <w:r>
        <w:rPr>
          <w:sz w:val="28"/>
        </w:rPr>
        <w:t>зования Выселковский район муниципальной услуги по выдаче разрешений на стро</w:t>
      </w:r>
      <w:r>
        <w:rPr>
          <w:sz w:val="28"/>
        </w:rPr>
        <w:t>и</w:t>
      </w:r>
      <w:r>
        <w:rPr>
          <w:sz w:val="28"/>
        </w:rPr>
        <w:t xml:space="preserve">тельство, </w:t>
      </w:r>
      <w:r>
        <w:rPr>
          <w:sz w:val="28"/>
        </w:rPr>
        <w:t>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</w:t>
      </w:r>
      <w:r>
        <w:rPr>
          <w:sz w:val="28"/>
        </w:rPr>
        <w:t>.</w:t>
      </w:r>
      <w:r>
        <w:rPr>
          <w:sz w:val="28"/>
        </w:rPr>
        <w:tab/>
      </w:r>
    </w:p>
    <w:p w14:paraId="28000000">
      <w:pPr>
        <w:ind w:firstLine="709" w:left="0" w:right="-284"/>
        <w:jc w:val="both"/>
        <w:outlineLvl w:val="0"/>
        <w:rPr>
          <w:sz w:val="28"/>
        </w:rPr>
      </w:pPr>
      <w:r>
        <w:rPr>
          <w:sz w:val="28"/>
        </w:rPr>
        <w:t>Цель предлагаемого правового регулирования соответствует принципам правового регулирования,</w:t>
      </w:r>
      <w:r>
        <w:rPr>
          <w:sz w:val="28"/>
        </w:rPr>
        <w:t xml:space="preserve"> установленным законодательством Российской Федерации и Краснодарского края</w:t>
      </w:r>
      <w:r>
        <w:rPr>
          <w:sz w:val="28"/>
        </w:rPr>
        <w:t xml:space="preserve">. </w:t>
      </w:r>
    </w:p>
    <w:p w14:paraId="29000000">
      <w:pPr>
        <w:tabs>
          <w:tab w:leader="none" w:pos="1027" w:val="left"/>
        </w:tabs>
        <w:ind/>
        <w:jc w:val="both"/>
        <w:rPr>
          <w:sz w:val="28"/>
        </w:rPr>
      </w:pPr>
      <w:r>
        <w:rPr>
          <w:sz w:val="28"/>
        </w:rPr>
        <w:t xml:space="preserve">    </w:t>
      </w:r>
      <w:r>
        <w:rPr>
          <w:sz w:val="28"/>
        </w:rPr>
        <w:t xml:space="preserve">4. </w:t>
      </w:r>
      <w:r>
        <w:rPr>
          <w:sz w:val="28"/>
        </w:rPr>
        <w:t>Проект муниципального нормативного правового акта содержит пол</w:t>
      </w:r>
      <w:r>
        <w:rPr>
          <w:sz w:val="28"/>
        </w:rPr>
        <w:t>о</w:t>
      </w:r>
      <w:r>
        <w:rPr>
          <w:sz w:val="28"/>
        </w:rPr>
        <w:t xml:space="preserve">жения, </w:t>
      </w:r>
      <w:r>
        <w:rPr>
          <w:sz w:val="28"/>
        </w:rPr>
        <w:t>устанавливающие новые</w:t>
      </w:r>
      <w:r>
        <w:rPr>
          <w:sz w:val="28"/>
        </w:rPr>
        <w:t xml:space="preserve"> </w:t>
      </w:r>
      <w:r>
        <w:rPr>
          <w:sz w:val="28"/>
        </w:rPr>
        <w:t>обязательные требования</w:t>
      </w:r>
      <w:r>
        <w:rPr>
          <w:sz w:val="28"/>
        </w:rPr>
        <w:t xml:space="preserve"> для субъектов предпринимательской и </w:t>
      </w:r>
      <w:r>
        <w:rPr>
          <w:sz w:val="28"/>
        </w:rPr>
        <w:t>иной экономической деятельности, прав</w:t>
      </w:r>
      <w:r>
        <w:rPr>
          <w:sz w:val="28"/>
        </w:rPr>
        <w:t>а</w:t>
      </w:r>
      <w:r>
        <w:rPr>
          <w:sz w:val="28"/>
        </w:rPr>
        <w:t xml:space="preserve"> и обязанност</w:t>
      </w:r>
      <w:r>
        <w:rPr>
          <w:sz w:val="28"/>
        </w:rPr>
        <w:t>и субъектов</w:t>
      </w:r>
      <w:r>
        <w:rPr>
          <w:sz w:val="28"/>
        </w:rPr>
        <w:t xml:space="preserve"> </w:t>
      </w:r>
      <w:r>
        <w:rPr>
          <w:sz w:val="28"/>
        </w:rPr>
        <w:t>инвестиционной деятельности</w:t>
      </w:r>
      <w:r>
        <w:rPr>
          <w:sz w:val="28"/>
        </w:rPr>
        <w:t>:</w:t>
      </w:r>
    </w:p>
    <w:p w14:paraId="2A000000">
      <w:pPr>
        <w:widowControl w:val="0"/>
        <w:tabs>
          <w:tab w:leader="none" w:pos="1560" w:val="left"/>
        </w:tabs>
        <w:ind/>
        <w:jc w:val="both"/>
        <w:outlineLvl w:val="0"/>
        <w:rPr>
          <w:sz w:val="28"/>
        </w:rPr>
      </w:pPr>
      <w:r>
        <w:rPr>
          <w:sz w:val="28"/>
        </w:rPr>
        <w:t xml:space="preserve">           </w:t>
      </w:r>
      <w:r>
        <w:rPr>
          <w:sz w:val="28"/>
        </w:rPr>
        <w:t>В целях получения  разрешения на строительство, внесении изменений в ранее выданное разрешение на строительство, получения повторного экземпляра (дубликата) разрешения на строительство заявитель предоставляет пакет документов, указанных в подразделе 2.6 Административного регламента</w:t>
      </w:r>
      <w:r>
        <w:rPr>
          <w:sz w:val="28"/>
        </w:rPr>
        <w:t>.</w:t>
      </w:r>
    </w:p>
    <w:p w14:paraId="2B000000">
      <w:pPr>
        <w:widowControl w:val="0"/>
        <w:tabs>
          <w:tab w:leader="none" w:pos="1560" w:val="left"/>
        </w:tabs>
        <w:ind/>
        <w:jc w:val="both"/>
        <w:outlineLvl w:val="0"/>
        <w:rPr>
          <w:sz w:val="28"/>
        </w:rPr>
      </w:pPr>
      <w:r>
        <w:rPr>
          <w:sz w:val="28"/>
        </w:rPr>
        <w:t xml:space="preserve">         </w:t>
      </w:r>
      <w:r>
        <w:rPr>
          <w:sz w:val="28"/>
        </w:rPr>
        <w:t>Изменение содержания и порядка реализации полномочий администрации муниципального образо</w:t>
      </w:r>
      <w:r>
        <w:rPr>
          <w:sz w:val="28"/>
        </w:rPr>
        <w:t>вания Выселковский район в отношениях с потенциальными адресатами не предусмотрено - в пределах штатной численности сотрудников.</w:t>
      </w:r>
    </w:p>
    <w:p w14:paraId="2C000000">
      <w:pPr>
        <w:tabs>
          <w:tab w:leader="none" w:pos="1027" w:val="left"/>
        </w:tabs>
        <w:ind w:firstLine="0" w:left="34"/>
        <w:jc w:val="both"/>
        <w:rPr>
          <w:sz w:val="28"/>
        </w:rPr>
      </w:pPr>
      <w:r>
        <w:rPr>
          <w:sz w:val="28"/>
        </w:rPr>
        <w:t xml:space="preserve">      5. </w:t>
      </w:r>
      <w:r>
        <w:rPr>
          <w:sz w:val="28"/>
        </w:rPr>
        <w:t>Риски не достижения целей правового регулирования, а также возмо</w:t>
      </w:r>
      <w:r>
        <w:rPr>
          <w:sz w:val="28"/>
        </w:rPr>
        <w:t>ж</w:t>
      </w:r>
      <w:r>
        <w:rPr>
          <w:sz w:val="28"/>
        </w:rPr>
        <w:t>ные негативные последствия от введения правового регулирования для экон</w:t>
      </w:r>
      <w:r>
        <w:rPr>
          <w:sz w:val="28"/>
        </w:rPr>
        <w:t>о</w:t>
      </w:r>
      <w:r>
        <w:rPr>
          <w:sz w:val="28"/>
        </w:rPr>
        <w:t xml:space="preserve">мического развития муниципального образования Выселковский район </w:t>
      </w:r>
      <w:r>
        <w:rPr>
          <w:sz w:val="28"/>
        </w:rPr>
        <w:t>отсутствуют</w:t>
      </w:r>
      <w:r>
        <w:rPr>
          <w:sz w:val="28"/>
        </w:rPr>
        <w:t>.</w:t>
      </w:r>
    </w:p>
    <w:p w14:paraId="2D000000">
      <w:pPr>
        <w:tabs>
          <w:tab w:leader="none" w:pos="1027" w:val="left"/>
        </w:tabs>
        <w:ind w:firstLine="0" w:left="34"/>
        <w:jc w:val="both"/>
        <w:rPr>
          <w:sz w:val="28"/>
        </w:rPr>
      </w:pPr>
      <w:r>
        <w:t xml:space="preserve">   6</w:t>
      </w:r>
      <w:r>
        <w:t xml:space="preserve">. </w:t>
      </w:r>
      <w:r>
        <w:rPr>
          <w:sz w:val="28"/>
        </w:rPr>
        <w:t xml:space="preserve">Расходы потенциальных адресатов предлагаемого правового регулирования, понесенные от регулирующего воздействия предлагаемого проектом нормативного правового акта, относятся к информационным издержкам, предполагаются в виде затрат на написание любого документа низкого уровня сложности (менее 5 стр. печатного текста), подачу пакета документов в уполномоченный орган в соответствии с требованиями проекта муниципального нормативного правового акта) и составляют примерно </w:t>
      </w:r>
      <w:r>
        <w:rPr>
          <w:sz w:val="28"/>
        </w:rPr>
        <w:t>708,4</w:t>
      </w:r>
      <w:r>
        <w:rPr>
          <w:sz w:val="28"/>
        </w:rPr>
        <w:t>руб. на одного заявителя.</w:t>
      </w:r>
    </w:p>
    <w:p w14:paraId="2E000000">
      <w:pPr>
        <w:pStyle w:val="Style_6"/>
        <w:tabs>
          <w:tab w:leader="none" w:pos="1027" w:val="left"/>
          <w:tab w:leader="none" w:pos="1369" w:val="left"/>
        </w:tabs>
        <w:spacing w:before="0"/>
        <w:ind w:firstLine="0" w:left="34" w:right="40"/>
        <w:rPr>
          <w:sz w:val="28"/>
        </w:rPr>
      </w:pPr>
      <w:r>
        <w:rPr>
          <w:sz w:val="28"/>
        </w:rPr>
        <w:t xml:space="preserve">         В соответствии с Методикой оценки стандартных издержек субъектов предпринимательской и иной экономической деятельности, возникающих в связи с исполнением требований регулирования, утвержденной приказом Министерства экономического развития Российской Федерации от 22 сентября 2015 года № 669:</w:t>
      </w:r>
    </w:p>
    <w:p w14:paraId="2F000000">
      <w:pPr>
        <w:pStyle w:val="Style_6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 xml:space="preserve">          информационные издержки регулирования включают в себя затраты на сбор, подготовку и представление органам публичной власти информации (документов, сведений) в соответствии с требованиями акта, проекта акта, в том числе затраты на поддержание готовности представить необходимую информацию по запросу со стороны органов власти или их уполномоченных представителей.</w:t>
      </w:r>
    </w:p>
    <w:p w14:paraId="30000000">
      <w:pPr>
        <w:pStyle w:val="Style_6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 xml:space="preserve">  Расчет информационных издержек произведен с использованием калькулятора расчета стандартных издержек (</w:t>
      </w:r>
      <w:r>
        <w:rPr>
          <w:sz w:val="28"/>
        </w:rPr>
        <w:t>regulation</w:t>
      </w:r>
      <w:r>
        <w:rPr>
          <w:sz w:val="28"/>
        </w:rPr>
        <w:t>.</w:t>
      </w:r>
      <w:r>
        <w:rPr>
          <w:sz w:val="28"/>
        </w:rPr>
        <w:t>gov</w:t>
      </w:r>
      <w:r>
        <w:rPr>
          <w:sz w:val="28"/>
        </w:rPr>
        <w:t>.</w:t>
      </w:r>
      <w:r>
        <w:rPr>
          <w:sz w:val="28"/>
        </w:rPr>
        <w:t>ru</w:t>
      </w:r>
      <w:r>
        <w:rPr>
          <w:sz w:val="28"/>
        </w:rPr>
        <w:t>):</w:t>
      </w:r>
    </w:p>
    <w:p w14:paraId="31000000">
      <w:pPr>
        <w:pStyle w:val="Style_6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 xml:space="preserve">       название требования: представление пакета документов, предусмотренного проектом;</w:t>
      </w:r>
    </w:p>
    <w:p w14:paraId="32000000">
      <w:pPr>
        <w:pStyle w:val="Style_6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 xml:space="preserve">          тип требования: представление информации (документов);</w:t>
      </w:r>
    </w:p>
    <w:p w14:paraId="33000000">
      <w:pPr>
        <w:pStyle w:val="Style_6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 xml:space="preserve">          раздел требования: информационное;</w:t>
      </w:r>
    </w:p>
    <w:p w14:paraId="34000000">
      <w:pPr>
        <w:pStyle w:val="Style_6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 xml:space="preserve">  тип информационного элемента: внутренние документы для хранения/передачи органам власти;</w:t>
      </w:r>
    </w:p>
    <w:p w14:paraId="35000000">
      <w:pPr>
        <w:pStyle w:val="Style_6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 xml:space="preserve">          масштаб: субъекты регулирования – 1;</w:t>
      </w:r>
    </w:p>
    <w:p w14:paraId="36000000">
      <w:pPr>
        <w:pStyle w:val="Style_6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 xml:space="preserve">          частота предоставления: 1 пакет документов 1 раз;</w:t>
      </w:r>
    </w:p>
    <w:p w14:paraId="37000000">
      <w:pPr>
        <w:pStyle w:val="Style_6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 xml:space="preserve">          </w:t>
      </w:r>
      <w:r>
        <w:rPr>
          <w:sz w:val="28"/>
        </w:rPr>
        <w:t>действия:</w:t>
      </w:r>
      <w:r>
        <w:rPr>
          <w:sz w:val="28"/>
        </w:rPr>
        <w:t xml:space="preserve"> подача пакета документов </w:t>
      </w:r>
      <w:r>
        <w:rPr>
          <w:sz w:val="28"/>
        </w:rPr>
        <w:t>– 2</w:t>
      </w:r>
      <w:r>
        <w:rPr>
          <w:sz w:val="28"/>
        </w:rPr>
        <w:t xml:space="preserve"> чел./час; </w:t>
      </w:r>
    </w:p>
    <w:p w14:paraId="38000000">
      <w:pPr>
        <w:pStyle w:val="Style_6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 xml:space="preserve">          </w:t>
      </w:r>
      <w:r>
        <w:rPr>
          <w:sz w:val="28"/>
        </w:rPr>
        <w:t>среднемесячная заработная плата на одного работника по Выселковскому району– 59504,8 руб.;</w:t>
      </w:r>
    </w:p>
    <w:p w14:paraId="39000000">
      <w:pPr>
        <w:pStyle w:val="Style_6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 xml:space="preserve">          средняя стоимость часа работы: 354,2</w:t>
      </w:r>
      <w:r>
        <w:rPr>
          <w:sz w:val="28"/>
        </w:rPr>
        <w:t xml:space="preserve"> руб. (59504,8 руб./21 рабочий день/8 час.);</w:t>
      </w:r>
    </w:p>
    <w:p w14:paraId="3A000000">
      <w:pPr>
        <w:pStyle w:val="Style_6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 xml:space="preserve">          общая стоимость требования: 708,4 руб. (354,2</w:t>
      </w:r>
      <w:r>
        <w:rPr>
          <w:sz w:val="28"/>
        </w:rPr>
        <w:t xml:space="preserve">руб./час </w:t>
      </w:r>
      <w:r>
        <w:rPr>
          <w:sz w:val="28"/>
        </w:rPr>
        <w:t>x</w:t>
      </w:r>
      <w:r>
        <w:rPr>
          <w:sz w:val="28"/>
        </w:rPr>
        <w:t xml:space="preserve"> </w:t>
      </w:r>
      <w:r>
        <w:rPr>
          <w:sz w:val="28"/>
        </w:rPr>
        <w:t>2 чел./час) на 1-го заявителя.</w:t>
      </w:r>
    </w:p>
    <w:p w14:paraId="3B000000">
      <w:pPr>
        <w:pStyle w:val="Style_7"/>
        <w:ind w:firstLine="708" w:left="3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Необоснованные расходы, связанные с регулирующим воздействием проекта, отсутствуют. </w:t>
      </w:r>
    </w:p>
    <w:p w14:paraId="3C000000">
      <w:pPr>
        <w:pStyle w:val="Style_5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</w:rPr>
        <w:t xml:space="preserve">асходы бюджета муниципального образования </w:t>
      </w:r>
      <w:r>
        <w:rPr>
          <w:rFonts w:ascii="Times New Roman" w:hAnsi="Times New Roman"/>
          <w:sz w:val="28"/>
        </w:rPr>
        <w:t>Выселковский</w:t>
      </w:r>
      <w:r>
        <w:rPr>
          <w:rFonts w:ascii="Times New Roman" w:hAnsi="Times New Roman"/>
          <w:sz w:val="28"/>
        </w:rPr>
        <w:t xml:space="preserve"> район, понесённые от регулирующего воздействия предлагаемого проекта </w:t>
      </w:r>
      <w:r>
        <w:rPr>
          <w:rFonts w:ascii="Times New Roman" w:hAnsi="Times New Roman"/>
          <w:sz w:val="28"/>
        </w:rPr>
        <w:t>муниципального нормативного правового акта</w:t>
      </w:r>
      <w:r>
        <w:rPr>
          <w:rFonts w:ascii="Times New Roman" w:hAnsi="Times New Roman"/>
          <w:sz w:val="28"/>
        </w:rPr>
        <w:t xml:space="preserve"> -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не предполагаются.</w:t>
      </w:r>
    </w:p>
    <w:p w14:paraId="3D000000">
      <w:pPr>
        <w:pStyle w:val="Style_2"/>
        <w:ind w:firstLine="851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Доходы </w:t>
      </w:r>
      <w:r>
        <w:rPr>
          <w:rFonts w:ascii="Times New Roman" w:hAnsi="Times New Roman"/>
          <w:sz w:val="28"/>
        </w:rPr>
        <w:t xml:space="preserve">бюджета муниципального образования </w:t>
      </w:r>
      <w:r>
        <w:rPr>
          <w:rFonts w:ascii="Times New Roman" w:hAnsi="Times New Roman"/>
          <w:sz w:val="28"/>
        </w:rPr>
        <w:t>Выселковский</w:t>
      </w:r>
      <w:r>
        <w:rPr>
          <w:rFonts w:ascii="Times New Roman" w:hAnsi="Times New Roman"/>
          <w:sz w:val="28"/>
        </w:rPr>
        <w:t xml:space="preserve"> район, </w:t>
      </w:r>
      <w:r>
        <w:rPr>
          <w:rFonts w:ascii="Times New Roman" w:hAnsi="Times New Roman"/>
          <w:sz w:val="28"/>
        </w:rPr>
        <w:t>получе</w:t>
      </w:r>
      <w:r>
        <w:rPr>
          <w:rFonts w:ascii="Times New Roman" w:hAnsi="Times New Roman"/>
          <w:sz w:val="28"/>
        </w:rPr>
        <w:t xml:space="preserve">нные от регулирующего воздействия предлагаемого проекта </w:t>
      </w:r>
      <w:r>
        <w:rPr>
          <w:rFonts w:ascii="Times New Roman" w:hAnsi="Times New Roman"/>
          <w:sz w:val="28"/>
        </w:rPr>
        <w:t>муниципального нормативного правового акта</w:t>
      </w:r>
      <w:r>
        <w:rPr>
          <w:rFonts w:ascii="Times New Roman" w:hAnsi="Times New Roman"/>
          <w:sz w:val="28"/>
        </w:rPr>
        <w:t xml:space="preserve"> – </w:t>
      </w:r>
      <w:r>
        <w:rPr>
          <w:rFonts w:ascii="Times New Roman" w:hAnsi="Times New Roman"/>
          <w:sz w:val="28"/>
        </w:rPr>
        <w:t>не предполагаются</w:t>
      </w:r>
      <w:r>
        <w:rPr>
          <w:rFonts w:ascii="Times New Roman" w:hAnsi="Times New Roman"/>
          <w:sz w:val="28"/>
        </w:rPr>
        <w:t xml:space="preserve">. </w:t>
      </w:r>
    </w:p>
    <w:p w14:paraId="3E000000">
      <w:pPr>
        <w:tabs>
          <w:tab w:leader="none" w:pos="1027" w:val="left"/>
        </w:tabs>
        <w:ind w:firstLine="0" w:left="34"/>
        <w:jc w:val="both"/>
        <w:rPr>
          <w:sz w:val="28"/>
        </w:rPr>
      </w:pPr>
      <w:r>
        <w:rPr>
          <w:color w:val="000000"/>
          <w:sz w:val="28"/>
        </w:rPr>
        <w:t xml:space="preserve">       7.</w:t>
      </w:r>
      <w:r>
        <w:rPr>
          <w:color w:val="000000"/>
          <w:sz w:val="28"/>
        </w:rPr>
        <w:t>В соответствии с Порядком уполномоченный орган провел    публичные ко</w:t>
      </w:r>
      <w:r>
        <w:rPr>
          <w:color w:val="000000"/>
          <w:sz w:val="28"/>
        </w:rPr>
        <w:t>н</w:t>
      </w:r>
      <w:r>
        <w:rPr>
          <w:color w:val="000000"/>
          <w:sz w:val="28"/>
        </w:rPr>
        <w:t xml:space="preserve">сультации по проекту в период с </w:t>
      </w:r>
      <w:r>
        <w:rPr>
          <w:color w:val="000000"/>
          <w:sz w:val="28"/>
        </w:rPr>
        <w:t>1</w:t>
      </w:r>
      <w:r>
        <w:rPr>
          <w:color w:val="000000"/>
          <w:sz w:val="28"/>
        </w:rPr>
        <w:t>9</w:t>
      </w:r>
      <w:r>
        <w:rPr>
          <w:color w:val="000000"/>
          <w:sz w:val="28"/>
        </w:rPr>
        <w:t>.</w:t>
      </w:r>
      <w:r>
        <w:rPr>
          <w:color w:val="000000"/>
          <w:sz w:val="28"/>
        </w:rPr>
        <w:t>0</w:t>
      </w:r>
      <w:r>
        <w:rPr>
          <w:color w:val="000000"/>
          <w:sz w:val="28"/>
        </w:rPr>
        <w:t>1</w:t>
      </w:r>
      <w:r>
        <w:rPr>
          <w:color w:val="000000"/>
          <w:sz w:val="28"/>
        </w:rPr>
        <w:t>.20</w:t>
      </w:r>
      <w:r>
        <w:rPr>
          <w:color w:val="000000"/>
          <w:sz w:val="28"/>
        </w:rPr>
        <w:t>2</w:t>
      </w:r>
      <w:r>
        <w:rPr>
          <w:color w:val="000000"/>
          <w:sz w:val="28"/>
        </w:rPr>
        <w:t>3</w:t>
      </w:r>
      <w:r>
        <w:rPr>
          <w:color w:val="000000"/>
          <w:sz w:val="28"/>
        </w:rPr>
        <w:t xml:space="preserve"> г. по </w:t>
      </w:r>
      <w:r>
        <w:rPr>
          <w:color w:val="000000"/>
          <w:sz w:val="28"/>
        </w:rPr>
        <w:t>01</w:t>
      </w:r>
      <w:r>
        <w:rPr>
          <w:color w:val="000000"/>
          <w:sz w:val="28"/>
        </w:rPr>
        <w:t>.0</w:t>
      </w:r>
      <w:r>
        <w:rPr>
          <w:color w:val="000000"/>
          <w:sz w:val="28"/>
        </w:rPr>
        <w:t>2</w:t>
      </w:r>
      <w:r>
        <w:rPr>
          <w:color w:val="000000"/>
          <w:sz w:val="28"/>
        </w:rPr>
        <w:t>.20</w:t>
      </w:r>
      <w:r>
        <w:rPr>
          <w:color w:val="000000"/>
          <w:sz w:val="28"/>
        </w:rPr>
        <w:t>2</w:t>
      </w:r>
      <w:r>
        <w:rPr>
          <w:color w:val="000000"/>
          <w:sz w:val="28"/>
        </w:rPr>
        <w:t>3</w:t>
      </w:r>
      <w:r>
        <w:rPr>
          <w:color w:val="000000"/>
          <w:sz w:val="28"/>
        </w:rPr>
        <w:t xml:space="preserve"> г.</w:t>
      </w:r>
    </w:p>
    <w:p w14:paraId="3F000000">
      <w:pPr>
        <w:tabs>
          <w:tab w:leader="none" w:pos="1027" w:val="left"/>
        </w:tabs>
        <w:ind/>
        <w:jc w:val="both"/>
        <w:rPr>
          <w:sz w:val="28"/>
        </w:rPr>
      </w:pPr>
      <w:r>
        <w:rPr>
          <w:color w:val="000000"/>
          <w:sz w:val="28"/>
        </w:rPr>
        <w:t xml:space="preserve">      8.  </w:t>
      </w:r>
      <w:r>
        <w:rPr>
          <w:sz w:val="28"/>
        </w:rPr>
        <w:t>Информация о проводимых публичных консультациях была размещена на официальном интернет-портале администрации муниципального образования Выселковский район (</w:t>
      </w:r>
      <w:r>
        <w:rPr>
          <w:rStyle w:val="Style_8_ch"/>
          <w:sz w:val="28"/>
        </w:rPr>
        <w:fldChar w:fldCharType="begin"/>
      </w:r>
      <w:r>
        <w:rPr>
          <w:rStyle w:val="Style_8_ch"/>
          <w:sz w:val="28"/>
        </w:rPr>
        <w:instrText>HYPERLINK "http://viselki.net"</w:instrText>
      </w:r>
      <w:r>
        <w:rPr>
          <w:rStyle w:val="Style_8_ch"/>
          <w:sz w:val="28"/>
        </w:rPr>
        <w:fldChar w:fldCharType="separate"/>
      </w:r>
      <w:r>
        <w:rPr>
          <w:rStyle w:val="Style_8_ch"/>
          <w:sz w:val="28"/>
        </w:rPr>
        <w:t>http</w:t>
      </w:r>
      <w:r>
        <w:rPr>
          <w:rStyle w:val="Style_8_ch"/>
          <w:sz w:val="28"/>
        </w:rPr>
        <w:t>://</w:t>
      </w:r>
      <w:r>
        <w:rPr>
          <w:rStyle w:val="Style_8_ch"/>
          <w:sz w:val="28"/>
        </w:rPr>
        <w:t>viselki</w:t>
      </w:r>
      <w:r>
        <w:rPr>
          <w:rStyle w:val="Style_8_ch"/>
          <w:sz w:val="28"/>
        </w:rPr>
        <w:t>.</w:t>
      </w:r>
      <w:r>
        <w:rPr>
          <w:rStyle w:val="Style_8_ch"/>
          <w:sz w:val="28"/>
        </w:rPr>
        <w:t>net</w:t>
      </w:r>
      <w:r>
        <w:rPr>
          <w:rStyle w:val="Style_8_ch"/>
          <w:sz w:val="28"/>
        </w:rPr>
        <w:fldChar w:fldCharType="end"/>
      </w:r>
      <w:r>
        <w:rPr>
          <w:sz w:val="28"/>
        </w:rPr>
        <w:t>).</w:t>
      </w:r>
    </w:p>
    <w:p w14:paraId="40000000">
      <w:pPr>
        <w:pStyle w:val="Style_3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Также данный проект был направлен на рассмотрение в адрес</w:t>
      </w:r>
      <w:r>
        <w:rPr>
          <w:rFonts w:ascii="Times New Roman" w:hAnsi="Times New Roman"/>
          <w:sz w:val="28"/>
        </w:rPr>
        <w:t xml:space="preserve"> Выселковской торгово-промышленной палаты, общественному представителю уполномоченного по защите прав предпринимателей в муниципальном образовании Выселковский район.</w:t>
      </w:r>
    </w:p>
    <w:p w14:paraId="41000000">
      <w:pPr>
        <w:tabs>
          <w:tab w:leader="none" w:pos="1168" w:val="left"/>
          <w:tab w:leader="none" w:pos="1354" w:val="left"/>
        </w:tabs>
        <w:ind/>
        <w:jc w:val="both"/>
        <w:rPr>
          <w:color w:val="000000"/>
          <w:sz w:val="28"/>
        </w:rPr>
      </w:pPr>
      <w:r>
        <w:rPr>
          <w:sz w:val="28"/>
        </w:rPr>
        <w:t xml:space="preserve">      </w:t>
      </w:r>
      <w:r>
        <w:rPr>
          <w:sz w:val="28"/>
        </w:rPr>
        <w:t xml:space="preserve">9. </w:t>
      </w:r>
      <w:r>
        <w:rPr>
          <w:sz w:val="28"/>
        </w:rPr>
        <w:t xml:space="preserve">В период проведения публичных консультаций замечаний и предложений по проекту муниципального нормативного правового акта от участников публичных консультаций и </w:t>
      </w:r>
      <w:r>
        <w:rPr>
          <w:sz w:val="28"/>
        </w:rPr>
        <w:t>от Выселковской торгово-промышленной палаты, общественного представителя уполномоченного по защите прав предпринимателей в муниципальном образовании Выселковский район</w:t>
      </w:r>
      <w:r>
        <w:rPr>
          <w:sz w:val="28"/>
        </w:rPr>
        <w:t xml:space="preserve"> не поступило. </w:t>
      </w:r>
    </w:p>
    <w:p w14:paraId="42000000">
      <w:pPr>
        <w:tabs>
          <w:tab w:leader="none" w:pos="1168" w:val="left"/>
          <w:tab w:leader="none" w:pos="1354" w:val="left"/>
        </w:tabs>
        <w:ind/>
        <w:jc w:val="both"/>
        <w:rPr>
          <w:sz w:val="28"/>
        </w:rPr>
      </w:pPr>
      <w:r>
        <w:rPr>
          <w:color w:val="000000"/>
          <w:sz w:val="28"/>
        </w:rPr>
        <w:t xml:space="preserve">    10</w:t>
      </w:r>
      <w:r>
        <w:rPr>
          <w:color w:val="000000"/>
          <w:sz w:val="28"/>
        </w:rPr>
        <w:t xml:space="preserve">. 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 </w:t>
      </w:r>
      <w:r>
        <w:rPr>
          <w:sz w:val="28"/>
        </w:rPr>
        <w:t>По результатам оценки регулирующего воздействия сделаны выводы об отсутствии в представленном проекте нормативного правового акта положений, вводящих избыточные обязательные требования для субъектов предпринимательской и иной экономической деятельности, обязанности, запреты и ограничения для субъектов  инвестиционной деятельности или способствующих их введению, оказывающих негативное влияние на отрасли экономики муниципального образования Выселковский район, способствующих возникновению необоснованных расходов субъектов предпринимательской и иной экономической деятельности, субъектов инвестиционной деятельности, а также необоснованных расходов бюджета муниципального образования Выселковский район, и о возможности его дальнейшего согласования.</w:t>
      </w:r>
      <w:r>
        <w:rPr>
          <w:sz w:val="28"/>
        </w:rPr>
        <w:t xml:space="preserve">  </w:t>
      </w:r>
    </w:p>
    <w:p w14:paraId="43000000">
      <w:pPr>
        <w:ind w:firstLine="851" w:left="0"/>
        <w:jc w:val="both"/>
        <w:rPr>
          <w:sz w:val="28"/>
        </w:rPr>
      </w:pPr>
    </w:p>
    <w:p w14:paraId="44000000">
      <w:pPr>
        <w:ind w:firstLine="851" w:left="0"/>
        <w:jc w:val="both"/>
        <w:rPr>
          <w:sz w:val="28"/>
        </w:rPr>
      </w:pPr>
    </w:p>
    <w:p w14:paraId="45000000">
      <w:pPr>
        <w:ind w:firstLine="851" w:left="0"/>
        <w:jc w:val="both"/>
        <w:rPr>
          <w:sz w:val="28"/>
        </w:rPr>
      </w:pPr>
    </w:p>
    <w:p w14:paraId="46000000">
      <w:pPr>
        <w:ind w:firstLine="851" w:left="0"/>
        <w:jc w:val="both"/>
        <w:rPr>
          <w:sz w:val="28"/>
        </w:rPr>
      </w:pPr>
    </w:p>
    <w:p w14:paraId="47000000">
      <w:pPr>
        <w:rPr>
          <w:sz w:val="28"/>
        </w:rPr>
      </w:pPr>
      <w:r>
        <w:rPr>
          <w:sz w:val="28"/>
        </w:rPr>
        <w:t>Первый заместитель главы</w:t>
      </w:r>
    </w:p>
    <w:p w14:paraId="48000000">
      <w:pPr>
        <w:rPr>
          <w:sz w:val="28"/>
        </w:rPr>
      </w:pPr>
      <w:r>
        <w:rPr>
          <w:sz w:val="28"/>
        </w:rPr>
        <w:t>муниципального образования</w:t>
      </w:r>
    </w:p>
    <w:p w14:paraId="49000000">
      <w:pPr>
        <w:rPr>
          <w:sz w:val="28"/>
        </w:rPr>
      </w:pPr>
      <w:r>
        <w:rPr>
          <w:sz w:val="28"/>
        </w:rPr>
        <w:t>Выселковский район                                                                          Т.П.Коробова</w:t>
      </w:r>
    </w:p>
    <w:p w14:paraId="4A000000">
      <w:pPr>
        <w:rPr>
          <w:color w:val="000000"/>
          <w:sz w:val="28"/>
        </w:rPr>
      </w:pPr>
      <w:r>
        <w:rPr>
          <w:color w:val="000000"/>
          <w:sz w:val="28"/>
        </w:rPr>
        <w:t xml:space="preserve">   </w:t>
      </w:r>
      <w:r>
        <w:rPr>
          <w:color w:val="000000"/>
          <w:sz w:val="28"/>
        </w:rPr>
        <w:t xml:space="preserve">                                                                                                            </w:t>
      </w:r>
    </w:p>
    <w:p w14:paraId="4B000000">
      <w:pPr>
        <w:rPr>
          <w:color w:val="000000"/>
          <w:sz w:val="28"/>
        </w:rPr>
      </w:pPr>
      <w:r>
        <w:rPr>
          <w:color w:val="000000"/>
          <w:sz w:val="28"/>
        </w:rPr>
        <w:t xml:space="preserve">                                                                                                                  </w:t>
      </w:r>
    </w:p>
    <w:p w14:paraId="4C000000">
      <w:pPr>
        <w:ind w:firstLine="708" w:left="7080"/>
        <w:rPr>
          <w:color w:val="000000"/>
          <w:sz w:val="28"/>
        </w:rPr>
      </w:pPr>
      <w:r>
        <w:rPr>
          <w:color w:val="000000"/>
          <w:sz w:val="28"/>
        </w:rPr>
        <w:t xml:space="preserve">   </w:t>
      </w:r>
      <w:r>
        <w:rPr>
          <w:color w:val="000000"/>
          <w:sz w:val="28"/>
        </w:rPr>
        <w:t>06</w:t>
      </w:r>
      <w:r>
        <w:rPr>
          <w:color w:val="000000"/>
          <w:sz w:val="28"/>
        </w:rPr>
        <w:t>.07</w:t>
      </w:r>
      <w:r>
        <w:rPr>
          <w:color w:val="000000"/>
          <w:sz w:val="28"/>
        </w:rPr>
        <w:t>.202</w:t>
      </w:r>
      <w:r>
        <w:rPr>
          <w:color w:val="000000"/>
          <w:sz w:val="28"/>
        </w:rPr>
        <w:t>3</w:t>
      </w:r>
      <w:r>
        <w:rPr>
          <w:color w:val="000000"/>
          <w:sz w:val="28"/>
        </w:rPr>
        <w:t xml:space="preserve">  </w:t>
      </w:r>
    </w:p>
    <w:p w14:paraId="4D000000">
      <w:pPr>
        <w:rPr>
          <w:color w:val="000000"/>
          <w:sz w:val="20"/>
        </w:rPr>
      </w:pPr>
    </w:p>
    <w:p w14:paraId="4E000000">
      <w:pPr>
        <w:rPr>
          <w:color w:val="000000"/>
          <w:sz w:val="20"/>
        </w:rPr>
      </w:pPr>
      <w:r>
        <w:rPr>
          <w:color w:val="000000"/>
          <w:sz w:val="20"/>
        </w:rPr>
        <w:t>Юрова Т.Н. 73502</w:t>
      </w:r>
      <w:r>
        <w:rPr>
          <w:color w:val="000000"/>
          <w:sz w:val="28"/>
        </w:rPr>
        <w:t xml:space="preserve">      </w:t>
      </w:r>
    </w:p>
    <w:sectPr>
      <w:pgSz w:h="16838" w:orient="portrait" w:w="11906"/>
      <w:pgMar w:bottom="851" w:footer="709" w:gutter="0" w:header="709" w:left="1701" w:right="567" w:top="851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ind w:hanging="360" w:left="1103"/>
      </w:pPr>
      <w:rPr>
        <w:color w:val="000000"/>
        <w:sz w:val="28"/>
      </w:rPr>
    </w:lvl>
    <w:lvl w:ilvl="1">
      <w:start w:val="1"/>
      <w:numFmt w:val="lowerLetter"/>
      <w:lvlText w:val="%2."/>
      <w:lvlJc w:val="left"/>
      <w:pPr>
        <w:ind w:hanging="360" w:left="1823"/>
      </w:pPr>
    </w:lvl>
    <w:lvl w:ilvl="2">
      <w:start w:val="1"/>
      <w:numFmt w:val="lowerRoman"/>
      <w:lvlText w:val="%3."/>
      <w:lvlJc w:val="right"/>
      <w:pPr>
        <w:ind w:hanging="180" w:left="2543"/>
      </w:pPr>
    </w:lvl>
    <w:lvl w:ilvl="3">
      <w:start w:val="1"/>
      <w:numFmt w:val="decimal"/>
      <w:lvlText w:val="%4."/>
      <w:lvlJc w:val="left"/>
      <w:pPr>
        <w:ind w:hanging="360" w:left="3263"/>
      </w:pPr>
    </w:lvl>
    <w:lvl w:ilvl="4">
      <w:start w:val="1"/>
      <w:numFmt w:val="lowerLetter"/>
      <w:lvlText w:val="%5."/>
      <w:lvlJc w:val="left"/>
      <w:pPr>
        <w:ind w:hanging="360" w:left="3983"/>
      </w:pPr>
    </w:lvl>
    <w:lvl w:ilvl="5">
      <w:start w:val="1"/>
      <w:numFmt w:val="lowerRoman"/>
      <w:lvlText w:val="%6."/>
      <w:lvlJc w:val="right"/>
      <w:pPr>
        <w:ind w:hanging="180" w:left="4703"/>
      </w:pPr>
    </w:lvl>
    <w:lvl w:ilvl="6">
      <w:start w:val="1"/>
      <w:numFmt w:val="decimal"/>
      <w:lvlText w:val="%7."/>
      <w:lvlJc w:val="left"/>
      <w:pPr>
        <w:ind w:hanging="360" w:left="5423"/>
      </w:pPr>
    </w:lvl>
    <w:lvl w:ilvl="7">
      <w:start w:val="1"/>
      <w:numFmt w:val="lowerLetter"/>
      <w:lvlText w:val="%8."/>
      <w:lvlJc w:val="left"/>
      <w:pPr>
        <w:ind w:hanging="360" w:left="6143"/>
      </w:pPr>
    </w:lvl>
    <w:lvl w:ilvl="8">
      <w:start w:val="1"/>
      <w:numFmt w:val="lowerRoman"/>
      <w:lvlText w:val="%9."/>
      <w:lvlJc w:val="right"/>
      <w:pPr>
        <w:ind w:hanging="180" w:left="6863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9" w:type="paragraph">
    <w:name w:val="Normal"/>
    <w:link w:val="Style_9_ch"/>
    <w:uiPriority w:val="0"/>
    <w:qFormat/>
    <w:rPr>
      <w:sz w:val="24"/>
    </w:rPr>
  </w:style>
  <w:style w:default="1" w:styleId="Style_9_ch" w:type="character">
    <w:name w:val="Normal"/>
    <w:link w:val="Style_9"/>
    <w:rPr>
      <w:sz w:val="24"/>
    </w:rPr>
  </w:style>
  <w:style w:styleId="Style_10" w:type="paragraph">
    <w:name w:val="toc 2"/>
    <w:next w:val="Style_9"/>
    <w:link w:val="Style_10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10_ch" w:type="character">
    <w:name w:val="toc 2"/>
    <w:link w:val="Style_10"/>
    <w:rPr>
      <w:rFonts w:ascii="XO Thames" w:hAnsi="XO Thames"/>
      <w:sz w:val="28"/>
    </w:rPr>
  </w:style>
  <w:style w:styleId="Style_2" w:type="paragraph">
    <w:name w:val="Нормальный (таблица)"/>
    <w:basedOn w:val="Style_9"/>
    <w:next w:val="Style_9"/>
    <w:link w:val="Style_2_ch"/>
    <w:pPr>
      <w:widowControl w:val="0"/>
      <w:ind/>
      <w:jc w:val="both"/>
    </w:pPr>
    <w:rPr>
      <w:rFonts w:ascii="Arial" w:hAnsi="Arial"/>
    </w:rPr>
  </w:style>
  <w:style w:styleId="Style_2_ch" w:type="character">
    <w:name w:val="Нормальный (таблица)"/>
    <w:basedOn w:val="Style_9_ch"/>
    <w:link w:val="Style_2"/>
    <w:rPr>
      <w:rFonts w:ascii="Arial" w:hAnsi="Arial"/>
    </w:rPr>
  </w:style>
  <w:style w:styleId="Style_11" w:type="paragraph">
    <w:name w:val="toc 4"/>
    <w:next w:val="Style_9"/>
    <w:link w:val="Style_11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11_ch" w:type="character">
    <w:name w:val="toc 4"/>
    <w:link w:val="Style_11"/>
    <w:rPr>
      <w:rFonts w:ascii="XO Thames" w:hAnsi="XO Thames"/>
      <w:sz w:val="28"/>
    </w:rPr>
  </w:style>
  <w:style w:styleId="Style_12" w:type="paragraph">
    <w:name w:val="toc 6"/>
    <w:next w:val="Style_9"/>
    <w:link w:val="Style_12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2_ch" w:type="character">
    <w:name w:val="toc 6"/>
    <w:link w:val="Style_12"/>
    <w:rPr>
      <w:rFonts w:ascii="XO Thames" w:hAnsi="XO Thames"/>
      <w:sz w:val="28"/>
    </w:rPr>
  </w:style>
  <w:style w:styleId="Style_5" w:type="paragraph">
    <w:name w:val="ConsPlusNonformat"/>
    <w:link w:val="Style_5_ch"/>
    <w:pPr>
      <w:widowControl w:val="0"/>
      <w:ind/>
    </w:pPr>
    <w:rPr>
      <w:rFonts w:ascii="Courier New" w:hAnsi="Courier New"/>
    </w:rPr>
  </w:style>
  <w:style w:styleId="Style_5_ch" w:type="character">
    <w:name w:val="ConsPlusNonformat"/>
    <w:link w:val="Style_5"/>
    <w:rPr>
      <w:rFonts w:ascii="Courier New" w:hAnsi="Courier New"/>
    </w:rPr>
  </w:style>
  <w:style w:styleId="Style_13" w:type="paragraph">
    <w:name w:val="toc 7"/>
    <w:next w:val="Style_9"/>
    <w:link w:val="Style_13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3_ch" w:type="character">
    <w:name w:val="toc 7"/>
    <w:link w:val="Style_13"/>
    <w:rPr>
      <w:rFonts w:ascii="XO Thames" w:hAnsi="XO Thames"/>
      <w:sz w:val="28"/>
    </w:rPr>
  </w:style>
  <w:style w:styleId="Style_14" w:type="paragraph">
    <w:name w:val="Strong"/>
    <w:basedOn w:val="Style_15"/>
    <w:link w:val="Style_14_ch"/>
    <w:rPr>
      <w:b w:val="1"/>
    </w:rPr>
  </w:style>
  <w:style w:styleId="Style_14_ch" w:type="character">
    <w:name w:val="Strong"/>
    <w:basedOn w:val="Style_15_ch"/>
    <w:link w:val="Style_14"/>
    <w:rPr>
      <w:b w:val="1"/>
    </w:rPr>
  </w:style>
  <w:style w:styleId="Style_16" w:type="paragraph">
    <w:name w:val="heading 3"/>
    <w:next w:val="Style_9"/>
    <w:link w:val="Style_16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6_ch" w:type="character">
    <w:name w:val="heading 3"/>
    <w:link w:val="Style_16"/>
    <w:rPr>
      <w:rFonts w:ascii="XO Thames" w:hAnsi="XO Thames"/>
      <w:b w:val="1"/>
      <w:sz w:val="26"/>
    </w:rPr>
  </w:style>
  <w:style w:styleId="Style_17" w:type="paragraph">
    <w:name w:val="header"/>
    <w:basedOn w:val="Style_9"/>
    <w:link w:val="Style_17_ch"/>
    <w:pPr>
      <w:tabs>
        <w:tab w:leader="none" w:pos="4677" w:val="center"/>
        <w:tab w:leader="none" w:pos="9355" w:val="right"/>
      </w:tabs>
      <w:ind/>
    </w:pPr>
  </w:style>
  <w:style w:styleId="Style_17_ch" w:type="character">
    <w:name w:val="header"/>
    <w:basedOn w:val="Style_9_ch"/>
    <w:link w:val="Style_17"/>
  </w:style>
  <w:style w:styleId="Style_7" w:type="paragraph">
    <w:name w:val="No Spacing"/>
    <w:link w:val="Style_7_ch"/>
    <w:rPr>
      <w:rFonts w:ascii="Calibri" w:hAnsi="Calibri"/>
      <w:sz w:val="22"/>
    </w:rPr>
  </w:style>
  <w:style w:styleId="Style_7_ch" w:type="character">
    <w:name w:val="No Spacing"/>
    <w:link w:val="Style_7"/>
    <w:rPr>
      <w:rFonts w:ascii="Calibri" w:hAnsi="Calibri"/>
      <w:sz w:val="22"/>
    </w:rPr>
  </w:style>
  <w:style w:styleId="Style_18" w:type="paragraph">
    <w:name w:val="toc 3"/>
    <w:next w:val="Style_9"/>
    <w:link w:val="Style_1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8_ch" w:type="character">
    <w:name w:val="toc 3"/>
    <w:link w:val="Style_18"/>
    <w:rPr>
      <w:rFonts w:ascii="XO Thames" w:hAnsi="XO Thames"/>
      <w:sz w:val="28"/>
    </w:rPr>
  </w:style>
  <w:style w:styleId="Style_19" w:type="paragraph">
    <w:name w:val="Normal (Web)"/>
    <w:basedOn w:val="Style_9"/>
    <w:link w:val="Style_19_ch"/>
    <w:pPr>
      <w:spacing w:after="119" w:beforeAutospacing="on"/>
      <w:ind/>
    </w:pPr>
  </w:style>
  <w:style w:styleId="Style_19_ch" w:type="character">
    <w:name w:val="Normal (Web)"/>
    <w:basedOn w:val="Style_9_ch"/>
    <w:link w:val="Style_19"/>
  </w:style>
  <w:style w:styleId="Style_20" w:type="paragraph">
    <w:name w:val="heading 5"/>
    <w:next w:val="Style_9"/>
    <w:link w:val="Style_20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0_ch" w:type="character">
    <w:name w:val="heading 5"/>
    <w:link w:val="Style_20"/>
    <w:rPr>
      <w:rFonts w:ascii="XO Thames" w:hAnsi="XO Thames"/>
      <w:b w:val="1"/>
      <w:sz w:val="22"/>
    </w:rPr>
  </w:style>
  <w:style w:styleId="Style_21" w:type="paragraph">
    <w:name w:val="Гипертекстовая ссылка"/>
    <w:link w:val="Style_21_ch"/>
    <w:rPr>
      <w:b w:val="1"/>
      <w:color w:val="106BBE"/>
    </w:rPr>
  </w:style>
  <w:style w:styleId="Style_21_ch" w:type="character">
    <w:name w:val="Гипертекстовая ссылка"/>
    <w:link w:val="Style_21"/>
    <w:rPr>
      <w:b w:val="1"/>
      <w:color w:val="106BBE"/>
    </w:rPr>
  </w:style>
  <w:style w:styleId="Style_15" w:type="paragraph">
    <w:name w:val="Default Paragraph Font"/>
    <w:link w:val="Style_15_ch"/>
  </w:style>
  <w:style w:styleId="Style_15_ch" w:type="character">
    <w:name w:val="Default Paragraph Font"/>
    <w:link w:val="Style_15"/>
  </w:style>
  <w:style w:styleId="Style_1" w:type="paragraph">
    <w:name w:val="heading 1"/>
    <w:basedOn w:val="Style_9"/>
    <w:next w:val="Style_9"/>
    <w:link w:val="Style_1_ch"/>
    <w:uiPriority w:val="9"/>
    <w:qFormat/>
    <w:pPr>
      <w:keepNext w:val="1"/>
      <w:widowControl w:val="0"/>
      <w:spacing w:before="5" w:line="326" w:lineRule="exact"/>
      <w:ind w:firstLine="0" w:left="38"/>
      <w:jc w:val="center"/>
      <w:outlineLvl w:val="0"/>
    </w:pPr>
    <w:rPr>
      <w:b w:val="1"/>
      <w:color w:val="000000"/>
      <w:spacing w:val="-16"/>
      <w:sz w:val="28"/>
    </w:rPr>
  </w:style>
  <w:style w:styleId="Style_1_ch" w:type="character">
    <w:name w:val="heading 1"/>
    <w:basedOn w:val="Style_9_ch"/>
    <w:link w:val="Style_1"/>
    <w:rPr>
      <w:b w:val="1"/>
      <w:color w:val="000000"/>
      <w:spacing w:val="-16"/>
      <w:sz w:val="28"/>
    </w:rPr>
  </w:style>
  <w:style w:styleId="Style_6" w:type="paragraph">
    <w:name w:val="Основной текст1"/>
    <w:basedOn w:val="Style_9"/>
    <w:link w:val="Style_6_ch"/>
    <w:pPr>
      <w:widowControl w:val="0"/>
      <w:spacing w:before="300" w:line="322" w:lineRule="exact"/>
      <w:ind/>
      <w:jc w:val="both"/>
    </w:pPr>
    <w:rPr>
      <w:color w:val="000000"/>
      <w:sz w:val="27"/>
    </w:rPr>
  </w:style>
  <w:style w:styleId="Style_6_ch" w:type="character">
    <w:name w:val="Основной текст1"/>
    <w:basedOn w:val="Style_9_ch"/>
    <w:link w:val="Style_6"/>
    <w:rPr>
      <w:color w:val="000000"/>
      <w:sz w:val="27"/>
    </w:rPr>
  </w:style>
  <w:style w:styleId="Style_22" w:type="paragraph">
    <w:name w:val="Прижатый влево"/>
    <w:basedOn w:val="Style_9"/>
    <w:next w:val="Style_9"/>
    <w:link w:val="Style_22_ch"/>
    <w:rPr>
      <w:rFonts w:ascii="Cambria Math" w:hAnsi="Cambria Math"/>
    </w:rPr>
  </w:style>
  <w:style w:styleId="Style_22_ch" w:type="character">
    <w:name w:val="Прижатый влево"/>
    <w:basedOn w:val="Style_9_ch"/>
    <w:link w:val="Style_22"/>
    <w:rPr>
      <w:rFonts w:ascii="Cambria Math" w:hAnsi="Cambria Math"/>
    </w:rPr>
  </w:style>
  <w:style w:styleId="Style_8" w:type="paragraph">
    <w:name w:val="Hyperlink"/>
    <w:link w:val="Style_8_ch"/>
    <w:rPr>
      <w:color w:val="0000FF"/>
      <w:u w:val="single"/>
    </w:rPr>
  </w:style>
  <w:style w:styleId="Style_8_ch" w:type="character">
    <w:name w:val="Hyperlink"/>
    <w:link w:val="Style_8"/>
    <w:rPr>
      <w:color w:val="0000FF"/>
      <w:u w:val="single"/>
    </w:rPr>
  </w:style>
  <w:style w:styleId="Style_23" w:type="paragraph">
    <w:name w:val="Footnote"/>
    <w:link w:val="Style_23_ch"/>
    <w:pPr>
      <w:ind w:firstLine="851" w:left="0"/>
      <w:jc w:val="both"/>
    </w:pPr>
    <w:rPr>
      <w:rFonts w:ascii="XO Thames" w:hAnsi="XO Thames"/>
      <w:sz w:val="22"/>
    </w:rPr>
  </w:style>
  <w:style w:styleId="Style_23_ch" w:type="character">
    <w:name w:val="Footnote"/>
    <w:link w:val="Style_23"/>
    <w:rPr>
      <w:rFonts w:ascii="XO Thames" w:hAnsi="XO Thames"/>
      <w:sz w:val="22"/>
    </w:rPr>
  </w:style>
  <w:style w:styleId="Style_24" w:type="paragraph">
    <w:name w:val="toc 1"/>
    <w:next w:val="Style_9"/>
    <w:link w:val="Style_24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4_ch" w:type="character">
    <w:name w:val="toc 1"/>
    <w:link w:val="Style_24"/>
    <w:rPr>
      <w:rFonts w:ascii="XO Thames" w:hAnsi="XO Thames"/>
      <w:b w:val="1"/>
      <w:sz w:val="28"/>
    </w:rPr>
  </w:style>
  <w:style w:styleId="Style_25" w:type="paragraph">
    <w:name w:val="Header and Footer"/>
    <w:link w:val="Style_25_ch"/>
    <w:pPr>
      <w:spacing w:line="240" w:lineRule="auto"/>
      <w:ind/>
      <w:jc w:val="both"/>
    </w:pPr>
    <w:rPr>
      <w:rFonts w:ascii="XO Thames" w:hAnsi="XO Thames"/>
      <w:sz w:val="20"/>
    </w:rPr>
  </w:style>
  <w:style w:styleId="Style_25_ch" w:type="character">
    <w:name w:val="Header and Footer"/>
    <w:link w:val="Style_25"/>
    <w:rPr>
      <w:rFonts w:ascii="XO Thames" w:hAnsi="XO Thames"/>
      <w:sz w:val="20"/>
    </w:rPr>
  </w:style>
  <w:style w:styleId="Style_26" w:type="paragraph">
    <w:name w:val="toc 9"/>
    <w:next w:val="Style_9"/>
    <w:link w:val="Style_26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6_ch" w:type="character">
    <w:name w:val="toc 9"/>
    <w:link w:val="Style_26"/>
    <w:rPr>
      <w:rFonts w:ascii="XO Thames" w:hAnsi="XO Thames"/>
      <w:sz w:val="28"/>
    </w:rPr>
  </w:style>
  <w:style w:styleId="Style_27" w:type="paragraph">
    <w:name w:val="toc 8"/>
    <w:next w:val="Style_9"/>
    <w:link w:val="Style_27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7_ch" w:type="character">
    <w:name w:val="toc 8"/>
    <w:link w:val="Style_27"/>
    <w:rPr>
      <w:rFonts w:ascii="XO Thames" w:hAnsi="XO Thames"/>
      <w:sz w:val="28"/>
    </w:rPr>
  </w:style>
  <w:style w:styleId="Style_3" w:type="paragraph">
    <w:name w:val="ConsPlusNormal"/>
    <w:link w:val="Style_3_ch"/>
    <w:pPr>
      <w:widowControl w:val="0"/>
      <w:ind/>
    </w:pPr>
    <w:rPr>
      <w:rFonts w:ascii="Arial" w:hAnsi="Arial"/>
    </w:rPr>
  </w:style>
  <w:style w:styleId="Style_3_ch" w:type="character">
    <w:name w:val="ConsPlusNormal"/>
    <w:link w:val="Style_3"/>
    <w:rPr>
      <w:rFonts w:ascii="Arial" w:hAnsi="Arial"/>
    </w:rPr>
  </w:style>
  <w:style w:styleId="Style_28" w:type="paragraph">
    <w:name w:val="toc 5"/>
    <w:next w:val="Style_9"/>
    <w:link w:val="Style_28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8_ch" w:type="character">
    <w:name w:val="toc 5"/>
    <w:link w:val="Style_28"/>
    <w:rPr>
      <w:rFonts w:ascii="XO Thames" w:hAnsi="XO Thames"/>
      <w:sz w:val="28"/>
    </w:rPr>
  </w:style>
  <w:style w:styleId="Style_29" w:type="paragraph">
    <w:name w:val="Subtitle"/>
    <w:next w:val="Style_9"/>
    <w:link w:val="Style_29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9_ch" w:type="character">
    <w:name w:val="Subtitle"/>
    <w:link w:val="Style_29"/>
    <w:rPr>
      <w:rFonts w:ascii="XO Thames" w:hAnsi="XO Thames"/>
      <w:i w:val="1"/>
      <w:sz w:val="24"/>
    </w:rPr>
  </w:style>
  <w:style w:styleId="Style_30" w:type="paragraph">
    <w:name w:val="Title"/>
    <w:next w:val="Style_9"/>
    <w:link w:val="Style_30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0_ch" w:type="character">
    <w:name w:val="Title"/>
    <w:link w:val="Style_30"/>
    <w:rPr>
      <w:rFonts w:ascii="XO Thames" w:hAnsi="XO Thames"/>
      <w:b w:val="1"/>
      <w:caps w:val="1"/>
      <w:sz w:val="40"/>
    </w:rPr>
  </w:style>
  <w:style w:styleId="Style_31" w:type="paragraph">
    <w:name w:val="heading 4"/>
    <w:next w:val="Style_9"/>
    <w:link w:val="Style_31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1_ch" w:type="character">
    <w:name w:val="heading 4"/>
    <w:link w:val="Style_31"/>
    <w:rPr>
      <w:rFonts w:ascii="XO Thames" w:hAnsi="XO Thames"/>
      <w:b w:val="1"/>
      <w:sz w:val="24"/>
    </w:rPr>
  </w:style>
  <w:style w:styleId="Style_32" w:type="paragraph">
    <w:name w:val="ConsPlusTitle"/>
    <w:link w:val="Style_32_ch"/>
    <w:pPr>
      <w:widowControl w:val="0"/>
      <w:ind/>
    </w:pPr>
    <w:rPr>
      <w:b w:val="1"/>
      <w:sz w:val="24"/>
    </w:rPr>
  </w:style>
  <w:style w:styleId="Style_32_ch" w:type="character">
    <w:name w:val="ConsPlusTitle"/>
    <w:link w:val="Style_32"/>
    <w:rPr>
      <w:b w:val="1"/>
      <w:sz w:val="24"/>
    </w:rPr>
  </w:style>
  <w:style w:styleId="Style_33" w:type="paragraph">
    <w:name w:val="heading 2"/>
    <w:next w:val="Style_9"/>
    <w:link w:val="Style_33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3_ch" w:type="character">
    <w:name w:val="heading 2"/>
    <w:link w:val="Style_33"/>
    <w:rPr>
      <w:rFonts w:ascii="XO Thames" w:hAnsi="XO Thames"/>
      <w:b w:val="1"/>
      <w:sz w:val="28"/>
    </w:rPr>
  </w:style>
  <w:style w:styleId="Style_4" w:type="paragraph">
    <w:name w:val="Без интервала"/>
    <w:link w:val="Style_4_ch"/>
    <w:rPr>
      <w:rFonts w:ascii="Calibri" w:hAnsi="Calibri"/>
      <w:sz w:val="22"/>
    </w:rPr>
  </w:style>
  <w:style w:styleId="Style_4_ch" w:type="character">
    <w:name w:val="Без интервала"/>
    <w:link w:val="Style_4"/>
    <w:rPr>
      <w:rFonts w:ascii="Calibri" w:hAnsi="Calibri"/>
      <w:sz w:val="22"/>
    </w:rPr>
  </w:style>
  <w:style w:styleId="Style_34" w:type="paragraph">
    <w:name w:val="blk"/>
    <w:basedOn w:val="Style_15"/>
    <w:link w:val="Style_34_ch"/>
  </w:style>
  <w:style w:styleId="Style_34_ch" w:type="character">
    <w:name w:val="blk"/>
    <w:basedOn w:val="Style_15_ch"/>
    <w:link w:val="Style_34"/>
  </w:style>
  <w:style w:default="1" w:styleId="Style_35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numbering.xml" Type="http://schemas.openxmlformats.org/officeDocument/2006/relationships/numbering"/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2023-07-06T14:23:03Z</dcterms:modified>
</cp:coreProperties>
</file>