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>
        <w:rPr>
          <w:b w:val="0"/>
          <w:spacing w:val="0"/>
          <w:sz w:val="28"/>
        </w:rPr>
        <w:t>Начальнику отдела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</w:t>
      </w:r>
      <w:r>
        <w:rPr>
          <w:sz w:val="28"/>
        </w:rPr>
        <w:t xml:space="preserve">развития потребительской сферы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и ценообразования</w:t>
      </w:r>
      <w:r>
        <w:rPr>
          <w:sz w:val="28"/>
        </w:rPr>
        <w:t xml:space="preserve">                                                                          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администрации </w:t>
      </w:r>
      <w:r>
        <w:rPr>
          <w:sz w:val="28"/>
        </w:rPr>
        <w:t xml:space="preserve">муниципального </w:t>
      </w:r>
      <w:r>
        <w:rPr>
          <w:sz w:val="28"/>
        </w:rPr>
        <w:t xml:space="preserve">                                        </w:t>
      </w:r>
      <w:r>
        <w:rPr>
          <w:sz w:val="28"/>
        </w:rPr>
        <w:t xml:space="preserve">                      </w:t>
      </w:r>
      <w:r>
        <w:rPr>
          <w:sz w:val="28"/>
        </w:rPr>
        <w:t xml:space="preserve">                 </w:t>
      </w:r>
    </w:p>
    <w:p w14:paraId="05000000">
      <w:pPr>
        <w:pStyle w:val="Style_1"/>
        <w:spacing w:before="0"/>
        <w:ind/>
        <w:rPr>
          <w:b w:val="0"/>
          <w:sz w:val="28"/>
        </w:rPr>
      </w:pPr>
      <w:r>
        <w:rPr>
          <w:sz w:val="28"/>
        </w:rPr>
        <w:t xml:space="preserve">                                                                                 </w:t>
      </w:r>
      <w:r>
        <w:rPr>
          <w:b w:val="0"/>
          <w:sz w:val="28"/>
        </w:rPr>
        <w:t xml:space="preserve">образования </w:t>
      </w:r>
      <w:r>
        <w:rPr>
          <w:b w:val="0"/>
          <w:sz w:val="28"/>
        </w:rPr>
        <w:t>Выселковский район</w:t>
      </w:r>
    </w:p>
    <w:p w14:paraId="06000000">
      <w:pPr>
        <w:rPr>
          <w:sz w:val="28"/>
        </w:rPr>
      </w:pPr>
      <w:r>
        <w:rPr>
          <w:b w:val="0"/>
          <w:sz w:val="28"/>
        </w:rPr>
        <w:t xml:space="preserve">                                                                           А.В.Хлыстун</w:t>
      </w:r>
      <w:r>
        <w:rPr>
          <w:b w:val="0"/>
          <w:sz w:val="28"/>
        </w:rPr>
        <w:t xml:space="preserve">      </w:t>
      </w:r>
      <w:r>
        <w:rPr>
          <w:b w:val="0"/>
          <w:spacing w:val="0"/>
          <w:sz w:val="28"/>
        </w:rPr>
        <w:t xml:space="preserve"> </w:t>
      </w:r>
    </w:p>
    <w:p w14:paraId="07000000">
      <w:pPr>
        <w:pStyle w:val="Style_1"/>
        <w:spacing w:before="0"/>
        <w:ind/>
        <w:rPr>
          <w:b w:val="0"/>
          <w:spacing w:val="0"/>
        </w:rPr>
      </w:pPr>
    </w:p>
    <w:p w14:paraId="08000000"/>
    <w:p w14:paraId="09000000"/>
    <w:p w14:paraId="0A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B000000">
      <w:pPr>
        <w:ind/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</w:t>
      </w:r>
      <w:r>
        <w:rPr>
          <w:color w:val="000000"/>
          <w:sz w:val="28"/>
        </w:rPr>
        <w:t>»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2</w:t>
      </w:r>
      <w:r>
        <w:rPr>
          <w:sz w:val="28"/>
        </w:rPr>
        <w:t>9</w:t>
      </w:r>
      <w:r>
        <w:rPr>
          <w:sz w:val="28"/>
        </w:rPr>
        <w:t xml:space="preserve"> </w:t>
      </w:r>
      <w:r>
        <w:rPr>
          <w:sz w:val="28"/>
        </w:rPr>
        <w:t>июня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года</w:t>
      </w:r>
      <w:r>
        <w:rPr>
          <w:sz w:val="28"/>
        </w:rPr>
        <w:t xml:space="preserve"> </w:t>
      </w:r>
      <w:r>
        <w:rPr>
          <w:sz w:val="28"/>
        </w:rPr>
        <w:t>проект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район»</w:t>
      </w:r>
      <w:r>
        <w:rPr>
          <w:sz w:val="28"/>
        </w:rPr>
        <w:t xml:space="preserve">  (далее – Проект), направленный для подготовки настоящего Заключения </w:t>
      </w:r>
      <w:r>
        <w:rPr>
          <w:rFonts w:ascii="Times New Roman" w:hAnsi="Times New Roman"/>
          <w:sz w:val="28"/>
        </w:rPr>
        <w:t xml:space="preserve">отделом развития потребительской сферы и ценообразования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</w:t>
      </w:r>
      <w:r>
        <w:rPr>
          <w:sz w:val="28"/>
        </w:rPr>
        <w:t xml:space="preserve">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widowControl w:val="0"/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4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постановления администрации муниципального образования Выселковский район «</w:t>
      </w:r>
      <w:r>
        <w:rPr>
          <w:rFonts w:ascii="Times New Roman" w:hAnsi="Times New Roman"/>
          <w:sz w:val="28"/>
        </w:rPr>
        <w:t xml:space="preserve">О внесении изменений в постановление администрации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r>
        <w:rPr>
          <w:color w:val="000000"/>
          <w:sz w:val="28"/>
        </w:rPr>
        <w:t>»</w:t>
      </w:r>
      <w:r>
        <w:rPr>
          <w:sz w:val="28"/>
        </w:rPr>
        <w:t xml:space="preserve">. </w:t>
      </w:r>
    </w:p>
    <w:p w14:paraId="15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6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9000000">
      <w:pPr>
        <w:pStyle w:val="Style_2"/>
        <w:ind w:firstLine="743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 и индивидуальные предприниматели, в том числе крестьянско-фермерские хозяйства, физические лица,  не являющиеся индивидуальными предпринимателями и применяющие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 (далее-</w:t>
      </w:r>
      <w:r>
        <w:rPr>
          <w:rFonts w:ascii="Times New Roman" w:hAnsi="Times New Roman"/>
          <w:sz w:val="28"/>
        </w:rPr>
        <w:t>самозанятые</w:t>
      </w:r>
      <w:r>
        <w:rPr>
          <w:rFonts w:ascii="Times New Roman" w:hAnsi="Times New Roman"/>
          <w:sz w:val="28"/>
        </w:rPr>
        <w:t>), претендующие на размещение нестационарных и мобильных торговых объектов</w:t>
      </w:r>
      <w:r>
        <w:rPr>
          <w:rFonts w:ascii="Times New Roman" w:hAnsi="Times New Roman"/>
          <w:sz w:val="28"/>
        </w:rPr>
        <w:t xml:space="preserve">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в том числе на льготных условиях</w:t>
      </w:r>
      <w:r>
        <w:rPr>
          <w:rFonts w:ascii="Times New Roman" w:hAnsi="Times New Roman"/>
          <w:sz w:val="28"/>
        </w:rPr>
        <w:t xml:space="preserve">;  </w:t>
      </w:r>
    </w:p>
    <w:p w14:paraId="1A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количественная оценка потенциальных адресатов правового регулирования – </w:t>
      </w:r>
      <w:r>
        <w:rPr>
          <w:rFonts w:ascii="Times New Roman" w:hAnsi="Times New Roman"/>
          <w:sz w:val="28"/>
        </w:rPr>
        <w:t>количественной оценке не поддается</w:t>
      </w:r>
      <w:r>
        <w:rPr>
          <w:rFonts w:ascii="Times New Roman" w:hAnsi="Times New Roman"/>
          <w:color w:val="000000"/>
          <w:sz w:val="28"/>
        </w:rPr>
        <w:t>;</w:t>
      </w:r>
    </w:p>
    <w:p w14:paraId="1B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июль</w:t>
      </w:r>
      <w:r>
        <w:rPr>
          <w:rFonts w:ascii="Times New Roman" w:hAnsi="Times New Roman"/>
          <w:color w:val="000000"/>
          <w:sz w:val="28"/>
        </w:rPr>
        <w:t xml:space="preserve"> 202</w:t>
      </w:r>
      <w:r>
        <w:rPr>
          <w:rFonts w:ascii="Times New Roman" w:hAnsi="Times New Roman"/>
          <w:color w:val="000000"/>
          <w:sz w:val="28"/>
        </w:rPr>
        <w:t>3</w:t>
      </w:r>
      <w:r>
        <w:rPr>
          <w:rFonts w:ascii="Times New Roman" w:hAnsi="Times New Roman"/>
          <w:color w:val="000000"/>
          <w:sz w:val="28"/>
        </w:rPr>
        <w:t>г)</w:t>
      </w:r>
      <w:r>
        <w:rPr>
          <w:rFonts w:ascii="Times New Roman" w:hAnsi="Times New Roman"/>
          <w:color w:val="000000"/>
          <w:sz w:val="28"/>
        </w:rPr>
        <w:t xml:space="preserve">, со дня обнародования,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D000000">
      <w:pPr>
        <w:widowControl w:val="0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- дополнительны</w:t>
      </w:r>
      <w:r>
        <w:rPr>
          <w:rFonts w:ascii="Times New Roman" w:hAnsi="Times New Roman"/>
          <w:color w:val="000000"/>
          <w:sz w:val="28"/>
        </w:rPr>
        <w:t>е расходы 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возможные </w:t>
      </w:r>
      <w:r>
        <w:rPr>
          <w:rFonts w:ascii="Times New Roman" w:hAnsi="Times New Roman"/>
          <w:color w:val="000000"/>
          <w:sz w:val="28"/>
        </w:rPr>
        <w:t>доход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потенциальных адресатов предлагаемого правового регулирования, связанны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с введением предлагаемого правового регулиров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ния</w:t>
      </w:r>
      <w:r>
        <w:rPr>
          <w:rFonts w:ascii="Times New Roman" w:hAnsi="Times New Roman"/>
          <w:color w:val="000000"/>
          <w:sz w:val="28"/>
        </w:rPr>
        <w:t xml:space="preserve"> -  расходы предполагаются  на подготовку пакета документов для участия в Конкурсе на право заключения договора о размещении нестационарного торгового объекта, платы за размещение нестационарных торговых объектов.  </w:t>
      </w:r>
      <w:r>
        <w:rPr>
          <w:rFonts w:ascii="Times New Roman" w:hAnsi="Times New Roman"/>
          <w:sz w:val="28"/>
        </w:rPr>
        <w:t>Конкретный размер платы за право размещения нестационарного торгового и мобильного торгового объекта устанавливается по результатам проведения конкурсов, а также в соответствии с утвержденным   Порядком  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Выселковский район,  которые являются субъектами малого и среднего предпринимательства. Доходы предполагаются от осуществления торговой деятельности в нестационарных и мобильных торговых объектах.</w:t>
      </w:r>
      <w:r>
        <w:rPr>
          <w:rFonts w:ascii="Times New Roman" w:hAnsi="Times New Roman"/>
          <w:sz w:val="28"/>
        </w:rPr>
        <w:t>;</w:t>
      </w:r>
    </w:p>
    <w:p w14:paraId="1E000000">
      <w:pPr>
        <w:widowControl w:val="0"/>
        <w:tabs>
          <w:tab w:leader="none" w:pos="694" w:val="left"/>
        </w:tabs>
        <w:ind w:firstLine="743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color w:val="000000"/>
          <w:sz w:val="28"/>
        </w:rPr>
        <w:t xml:space="preserve">дополнительные расходы местного бюджета (бюджета муниципального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район), связанные с введением предла</w:t>
      </w:r>
      <w:r>
        <w:rPr>
          <w:rFonts w:ascii="Times New Roman" w:hAnsi="Times New Roman"/>
          <w:color w:val="000000"/>
          <w:sz w:val="28"/>
        </w:rPr>
        <w:t xml:space="preserve">гаемого правового регулирования не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предполагаются;</w:t>
      </w:r>
    </w:p>
    <w:p w14:paraId="1F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- </w:t>
      </w:r>
      <w:r>
        <w:rPr>
          <w:rFonts w:ascii="Times New Roman" w:hAnsi="Times New Roman"/>
          <w:color w:val="000000"/>
          <w:sz w:val="28"/>
        </w:rPr>
        <w:t xml:space="preserve">дополнительные </w:t>
      </w:r>
      <w:r>
        <w:rPr>
          <w:rFonts w:ascii="Times New Roman" w:hAnsi="Times New Roman"/>
          <w:color w:val="000000"/>
          <w:sz w:val="28"/>
        </w:rPr>
        <w:t>доходы</w:t>
      </w:r>
      <w:r>
        <w:rPr>
          <w:rFonts w:ascii="Times New Roman" w:hAnsi="Times New Roman"/>
          <w:color w:val="000000"/>
          <w:sz w:val="28"/>
        </w:rPr>
        <w:t xml:space="preserve"> местного бюджета (бюджета муниципального образования </w:t>
      </w:r>
      <w:r>
        <w:rPr>
          <w:rFonts w:ascii="Times New Roman" w:hAnsi="Times New Roman"/>
          <w:color w:val="000000"/>
          <w:sz w:val="28"/>
        </w:rPr>
        <w:t>Выселковский</w:t>
      </w:r>
      <w:r>
        <w:rPr>
          <w:rFonts w:ascii="Times New Roman" w:hAnsi="Times New Roman"/>
          <w:color w:val="000000"/>
          <w:sz w:val="28"/>
        </w:rPr>
        <w:t xml:space="preserve"> район), связанные с введением предла</w:t>
      </w:r>
      <w:r>
        <w:rPr>
          <w:rFonts w:ascii="Times New Roman" w:hAnsi="Times New Roman"/>
          <w:color w:val="000000"/>
          <w:sz w:val="28"/>
        </w:rPr>
        <w:t>гаемого правового регулирования - р</w:t>
      </w:r>
      <w:r>
        <w:rPr>
          <w:rFonts w:ascii="Times New Roman" w:hAnsi="Times New Roman"/>
          <w:sz w:val="28"/>
        </w:rPr>
        <w:t xml:space="preserve">азмер доходов бюджета муниципального образования Выселковский район  </w:t>
      </w:r>
      <w:r>
        <w:rPr>
          <w:rFonts w:ascii="Times New Roman" w:hAnsi="Times New Roman"/>
          <w:sz w:val="28"/>
        </w:rPr>
        <w:t>будет зависеть от результатов проведения торгов на право размещения нестационарных торговых объектов</w:t>
      </w:r>
      <w:r>
        <w:rPr>
          <w:rFonts w:ascii="Times New Roman" w:hAnsi="Times New Roman"/>
          <w:sz w:val="28"/>
        </w:rPr>
        <w:t>, также от количества обращений на  предоставление</w:t>
      </w:r>
      <w:r>
        <w:rPr>
          <w:rFonts w:ascii="Times New Roman" w:hAnsi="Times New Roman"/>
          <w:sz w:val="28"/>
        </w:rPr>
        <w:t xml:space="preserve"> прав</w:t>
      </w:r>
      <w:r>
        <w:rPr>
          <w:rFonts w:ascii="Times New Roman" w:hAnsi="Times New Roman"/>
          <w:sz w:val="28"/>
        </w:rPr>
        <w:t>а на</w:t>
      </w:r>
      <w:r>
        <w:rPr>
          <w:rFonts w:ascii="Times New Roman" w:hAnsi="Times New Roman"/>
          <w:sz w:val="28"/>
        </w:rPr>
        <w:t xml:space="preserve"> размещения нестационарных торговых объектов</w:t>
      </w:r>
      <w:r>
        <w:rPr>
          <w:rFonts w:ascii="Times New Roman" w:hAnsi="Times New Roman"/>
          <w:sz w:val="28"/>
        </w:rPr>
        <w:t>, в том числе  на льготных условиях (предоставление муниципальных преференций);</w:t>
      </w:r>
    </w:p>
    <w:p w14:paraId="20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21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2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23000000">
      <w:pPr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Юридические лица и индивидуальные предприниматели, в том числе крестьянско-фермерские хозяйства, физические лица,  не являющиеся индивидуальными предпринимателями и применяющие специальный налоговый режим "Налог на профессиональный доход",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профессиональный доход» (далее-</w:t>
      </w:r>
      <w:r>
        <w:rPr>
          <w:rFonts w:ascii="Times New Roman" w:hAnsi="Times New Roman"/>
          <w:sz w:val="28"/>
        </w:rPr>
        <w:t>самозанятые</w:t>
      </w:r>
      <w:r>
        <w:rPr>
          <w:rFonts w:ascii="Times New Roman" w:hAnsi="Times New Roman"/>
          <w:sz w:val="28"/>
        </w:rPr>
        <w:t>), претендующие на размещение нестационарных и мобильных торговых объектов</w:t>
      </w:r>
      <w:r>
        <w:rPr>
          <w:rFonts w:ascii="Times New Roman" w:hAnsi="Times New Roman"/>
          <w:sz w:val="28"/>
        </w:rPr>
        <w:t xml:space="preserve">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в том числе на льготных условиях</w:t>
      </w:r>
      <w:r>
        <w:rPr>
          <w:sz w:val="28"/>
        </w:rPr>
        <w:t xml:space="preserve">.  </w:t>
      </w:r>
    </w:p>
    <w:p w14:paraId="24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5000000">
      <w:pPr>
        <w:ind/>
        <w:jc w:val="both"/>
        <w:outlineLvl w:val="0"/>
        <w:rPr>
          <w:sz w:val="28"/>
        </w:rPr>
      </w:pPr>
      <w:r>
        <w:rPr>
          <w:rFonts w:ascii="Times New Roman" w:hAnsi="Times New Roman"/>
          <w:sz w:val="28"/>
          <w:u w:val="none"/>
        </w:rPr>
        <w:t xml:space="preserve">Несоответствие </w:t>
      </w:r>
      <w:r>
        <w:rPr>
          <w:rFonts w:ascii="Times New Roman" w:hAnsi="Times New Roman"/>
          <w:sz w:val="28"/>
          <w:u w:val="none"/>
        </w:rPr>
        <w:t xml:space="preserve">НПА </w:t>
      </w:r>
      <w:r>
        <w:rPr>
          <w:rFonts w:ascii="Times New Roman" w:hAnsi="Times New Roman"/>
          <w:sz w:val="28"/>
          <w:u w:val="none"/>
        </w:rPr>
        <w:t xml:space="preserve">действующему законодательству: </w:t>
      </w:r>
      <w:r>
        <w:rPr>
          <w:rFonts w:ascii="Times New Roman" w:hAnsi="Times New Roman"/>
          <w:sz w:val="28"/>
        </w:rPr>
        <w:t xml:space="preserve">необходимо привести в соответствие со статьей 22 Федерального закона от 28 декабря 2009 г. №381-ФЗ «Об основах государственного регулирования торговой деятельности в Российской Федерации», со статьей 18 Федерального закона от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продукции»  нормативные правовые акты органов местного самоуправления района по  упорядочению</w:t>
      </w:r>
      <w:r>
        <w:rPr>
          <w:rFonts w:ascii="Times New Roman" w:hAnsi="Times New Roman"/>
          <w:sz w:val="28"/>
        </w:rPr>
        <w:t xml:space="preserve"> размещения нестационарных торговых объектов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район. В связи с расширением ассортимента продукции  необходимо актуализировать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разграничена. В настоящее время муниципальный правовой акт администрации, определяющий соответствующий порядок не соответствует нормам действующего законодательства. Таким образом, отношения, связанные с размещением нестационарных торговых объектов на территории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регламентированы не в полной мере. Поэтому действующий муниципальный правовой акт подлежит уточнению.</w:t>
      </w:r>
    </w:p>
    <w:p w14:paraId="26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7000000">
      <w:pPr>
        <w:ind w:firstLine="851" w:left="0"/>
        <w:jc w:val="both"/>
        <w:rPr>
          <w:rFonts w:ascii="Times New Roman" w:hAnsi="Times New Roman"/>
          <w:sz w:val="28"/>
          <w:u w:val="none"/>
        </w:rPr>
      </w:pPr>
      <w:r>
        <w:rPr>
          <w:sz w:val="28"/>
        </w:rPr>
        <w:t xml:space="preserve"> 3. </w:t>
      </w:r>
      <w:r>
        <w:rPr>
          <w:sz w:val="28"/>
        </w:rPr>
        <w:t xml:space="preserve">Цель предлагаемого правового регулирования - </w:t>
      </w:r>
      <w:r>
        <w:rPr>
          <w:rFonts w:ascii="Times New Roman" w:hAnsi="Times New Roman"/>
          <w:sz w:val="28"/>
          <w:u w:val="none"/>
        </w:rPr>
        <w:t xml:space="preserve">приведение </w:t>
      </w:r>
      <w:r>
        <w:rPr>
          <w:rFonts w:ascii="Times New Roman" w:hAnsi="Times New Roman"/>
          <w:sz w:val="28"/>
          <w:u w:val="none"/>
        </w:rPr>
        <w:t xml:space="preserve">НПА </w:t>
      </w:r>
      <w:r>
        <w:rPr>
          <w:rFonts w:ascii="Times New Roman" w:hAnsi="Times New Roman"/>
          <w:sz w:val="28"/>
          <w:u w:val="none"/>
        </w:rPr>
        <w:t xml:space="preserve">в соответствие с действующим законодательством. </w:t>
      </w:r>
    </w:p>
    <w:p w14:paraId="28000000">
      <w:pPr>
        <w:widowControl w:val="0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разработан в целях реализации Федерального закона от 28 декабря 2009 года №381-ФЗ «Об основах государственного регулирования </w:t>
      </w:r>
      <w:r>
        <w:rPr>
          <w:rFonts w:ascii="Times New Roman" w:hAnsi="Times New Roman"/>
          <w:sz w:val="28"/>
        </w:rPr>
        <w:t xml:space="preserve">торговой деятельности в Российской Федерации», статьи 18 Федерального закона 23 февраля 2013 г. № 15-ФЗ «Об охране здоровья граждан от воздействия окружающего табачного дыма, последствий потребления табака или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продукции» и направлен на применение положений, предусматривающих размещение нестационарных торговых объектов,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на  соблюдение запрета розничной продажи контрафактной табачной 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и соблюдение требований в сфере защиты прав потребителей, соблюдение</w:t>
      </w:r>
      <w:r>
        <w:rPr>
          <w:rFonts w:ascii="Times New Roman" w:hAnsi="Times New Roman"/>
          <w:sz w:val="28"/>
        </w:rPr>
        <w:t xml:space="preserve"> санитарных норм и правил. В связи с расширением ассортимента продукции  будет актуализирована методика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 (расширена специализация нестационарного торгового объекта).</w:t>
      </w:r>
    </w:p>
    <w:p w14:paraId="29000000">
      <w:pPr>
        <w:pStyle w:val="Style_6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rFonts w:ascii="Times New Roman" w:hAnsi="Times New Roman"/>
          <w:sz w:val="28"/>
        </w:rPr>
        <w:t xml:space="preserve">. </w:t>
      </w:r>
    </w:p>
    <w:p w14:paraId="2A000000">
      <w:pPr>
        <w:tabs>
          <w:tab w:leader="none" w:pos="1027" w:val="left"/>
        </w:tabs>
        <w:ind/>
        <w:jc w:val="both"/>
        <w:rPr>
          <w:sz w:val="28"/>
          <w:highlight w:val="yellow"/>
        </w:rPr>
      </w:pPr>
      <w:r>
        <w:rPr>
          <w:sz w:val="28"/>
        </w:rPr>
        <w:t xml:space="preserve">         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>жения, устанавливающие новые обязанности для субъектов предпринимательской и иной экономической деятельности:</w:t>
      </w:r>
    </w:p>
    <w:p w14:paraId="2B000000">
      <w:pPr>
        <w:numPr>
          <w:numId w:val="2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предполагается утвердить </w:t>
      </w:r>
      <w:r>
        <w:rPr>
          <w:rFonts w:ascii="Times New Roman" w:hAnsi="Times New Roman"/>
          <w:sz w:val="28"/>
        </w:rPr>
        <w:t xml:space="preserve">применение положений, предусматривающих размещение нестационарных торговых объектов,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</w:t>
      </w:r>
      <w:r>
        <w:rPr>
          <w:rFonts w:ascii="Times New Roman" w:hAnsi="Times New Roman"/>
          <w:sz w:val="28"/>
        </w:rPr>
        <w:t>27 ноября 2018 года</w:t>
      </w:r>
      <w:r>
        <w:rPr>
          <w:rFonts w:ascii="Times New Roman" w:hAnsi="Times New Roman"/>
          <w:sz w:val="28"/>
        </w:rPr>
        <w:t xml:space="preserve"> №422-ФЗ «О проведении эксперимента по установлению специального налогового режима «Налог на профессиональный доход»;</w:t>
      </w:r>
    </w:p>
    <w:p w14:paraId="2C000000">
      <w:pPr>
        <w:numPr>
          <w:numId w:val="2"/>
        </w:numPr>
        <w:ind/>
        <w:jc w:val="both"/>
        <w:rPr>
          <w:sz w:val="28"/>
        </w:rPr>
      </w:pPr>
      <w:r>
        <w:rPr>
          <w:b w:val="0"/>
          <w:sz w:val="28"/>
        </w:rPr>
        <w:t xml:space="preserve">в рекомендуемой форме </w:t>
      </w:r>
      <w:r>
        <w:rPr>
          <w:b w:val="0"/>
          <w:sz w:val="28"/>
        </w:rPr>
        <w:t xml:space="preserve">договора о размещении нестационарного торгового объекта </w:t>
      </w:r>
      <w:r>
        <w:rPr>
          <w:b w:val="0"/>
          <w:sz w:val="28"/>
        </w:rPr>
        <w:t>на земельном участке, находящемся в муниципальной собственности либо государственная собственность на который не разграничена (далее - Договор), предусматривается новое положение -</w:t>
      </w:r>
      <w:r>
        <w:rPr>
          <w:rFonts w:ascii="Times New Roman" w:hAnsi="Times New Roman"/>
          <w:sz w:val="28"/>
        </w:rPr>
        <w:t xml:space="preserve"> право администрации 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 в одностороннем порядке отказаться от исполнения Договора </w:t>
      </w:r>
      <w:r>
        <w:rPr>
          <w:sz w:val="28"/>
        </w:rPr>
        <w:t xml:space="preserve"> в случае выявления фактов реализации контрафактной (фальсифицированной) табачной</w:t>
      </w:r>
      <w:r>
        <w:rPr>
          <w:sz w:val="28"/>
        </w:rPr>
        <w:t xml:space="preserve"> и никотинсодержащей</w:t>
      </w:r>
      <w:r>
        <w:rPr>
          <w:sz w:val="28"/>
        </w:rPr>
        <w:t xml:space="preserve"> продукции, а также в</w:t>
      </w:r>
      <w:r>
        <w:rPr>
          <w:sz w:val="28"/>
        </w:rPr>
        <w:t xml:space="preserve"> случае неоднократного поступления в администрацию муниципального образования информации о нарушении законодательства в сфере защиты прав потребителей, о нарушении санитарных норм и правил от уполномоченных органов в области обеспечения санитарно-эпидемиологического благополучия населения;</w:t>
      </w:r>
    </w:p>
    <w:p w14:paraId="2D000000">
      <w:pPr>
        <w:numPr>
          <w:numId w:val="2"/>
        </w:numPr>
        <w:ind/>
        <w:jc w:val="both"/>
        <w:rPr>
          <w:b w:val="0"/>
          <w:sz w:val="28"/>
        </w:rPr>
      </w:pPr>
      <w:r>
        <w:rPr>
          <w:b w:val="0"/>
          <w:sz w:val="28"/>
        </w:rPr>
        <w:t>расширяется специализация нестационарного торгового объекта.</w:t>
      </w:r>
    </w:p>
    <w:p w14:paraId="2E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F000000">
      <w:pPr>
        <w:pStyle w:val="Style_7"/>
        <w:ind/>
        <w:jc w:val="both"/>
        <w:rPr>
          <w:b w:val="0"/>
          <w:sz w:val="28"/>
        </w:rPr>
      </w:pPr>
      <w:r>
        <w:tab/>
      </w:r>
      <w:r>
        <w:rPr>
          <w:b w:val="0"/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b w:val="0"/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</w:t>
      </w:r>
      <w:r>
        <w:rPr>
          <w:b w:val="0"/>
          <w:sz w:val="28"/>
        </w:rPr>
        <w:t>.</w:t>
      </w:r>
    </w:p>
    <w:p w14:paraId="30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   </w:t>
      </w:r>
      <w:r>
        <w:rPr>
          <w:sz w:val="28"/>
        </w:rPr>
        <w:t>5.</w:t>
      </w:r>
      <w:r>
        <w:rPr>
          <w:sz w:val="28"/>
        </w:rPr>
        <w:t xml:space="preserve"> </w:t>
      </w:r>
      <w:r>
        <w:rPr>
          <w:sz w:val="28"/>
        </w:rPr>
        <w:t>Риски не</w:t>
      </w:r>
      <w:r>
        <w:rPr>
          <w:sz w:val="28"/>
        </w:rPr>
        <w:t xml:space="preserve"> </w:t>
      </w:r>
      <w:r>
        <w:rPr>
          <w:sz w:val="28"/>
        </w:rPr>
        <w:t>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 </w:t>
      </w:r>
      <w:r>
        <w:rPr>
          <w:sz w:val="28"/>
        </w:rPr>
        <w:t>отсутствуют.</w:t>
      </w:r>
    </w:p>
    <w:p w14:paraId="31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</w:t>
      </w:r>
      <w:r>
        <w:rPr>
          <w:sz w:val="28"/>
        </w:rPr>
        <w:t>6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 Р</w:t>
      </w:r>
      <w:r>
        <w:rPr>
          <w:sz w:val="28"/>
        </w:rPr>
        <w:t>асходы потенциальных адресатов предлагаемого прав</w:t>
      </w:r>
      <w:r>
        <w:rPr>
          <w:sz w:val="28"/>
        </w:rPr>
        <w:t>о</w:t>
      </w:r>
      <w:r>
        <w:rPr>
          <w:sz w:val="28"/>
        </w:rPr>
        <w:t>вого регулирования, понесенные от регулирующего воздействия проекта, пре</w:t>
      </w:r>
      <w:r>
        <w:rPr>
          <w:sz w:val="28"/>
        </w:rPr>
        <w:t>д</w:t>
      </w:r>
      <w:r>
        <w:rPr>
          <w:sz w:val="28"/>
        </w:rPr>
        <w:t>полагаются в виде информационных издержек на подготовку</w:t>
      </w:r>
      <w:r>
        <w:rPr>
          <w:sz w:val="28"/>
        </w:rPr>
        <w:t xml:space="preserve"> заявки с пакетом документов для заключения договоров </w:t>
      </w:r>
      <w:r>
        <w:rPr>
          <w:sz w:val="28"/>
        </w:rPr>
        <w:t xml:space="preserve">на право размещения НТО, заключаемых </w:t>
      </w:r>
      <w:r>
        <w:rPr>
          <w:sz w:val="28"/>
        </w:rPr>
        <w:t>без</w:t>
      </w:r>
      <w:r>
        <w:rPr>
          <w:sz w:val="28"/>
        </w:rPr>
        <w:t xml:space="preserve"> проведения конкурсов</w:t>
      </w:r>
      <w:r>
        <w:rPr>
          <w:sz w:val="28"/>
        </w:rPr>
        <w:t xml:space="preserve">, или </w:t>
      </w:r>
      <w:r>
        <w:rPr>
          <w:sz w:val="28"/>
        </w:rPr>
        <w:t>на подготовку</w:t>
      </w:r>
      <w:r>
        <w:rPr>
          <w:sz w:val="28"/>
        </w:rPr>
        <w:t xml:space="preserve"> заявки с пакетом документов для участия в </w:t>
      </w:r>
      <w:r>
        <w:rPr>
          <w:sz w:val="28"/>
        </w:rPr>
        <w:t>открыто</w:t>
      </w:r>
      <w:r>
        <w:rPr>
          <w:sz w:val="28"/>
        </w:rPr>
        <w:t>м</w:t>
      </w:r>
      <w:r>
        <w:rPr>
          <w:sz w:val="28"/>
        </w:rPr>
        <w:t xml:space="preserve"> </w:t>
      </w:r>
      <w:r>
        <w:rPr>
          <w:sz w:val="28"/>
        </w:rPr>
        <w:t>К</w:t>
      </w:r>
      <w:r>
        <w:rPr>
          <w:sz w:val="28"/>
        </w:rPr>
        <w:t>онкурс</w:t>
      </w:r>
      <w:r>
        <w:rPr>
          <w:sz w:val="28"/>
        </w:rPr>
        <w:t>е</w:t>
      </w:r>
      <w:r>
        <w:rPr>
          <w:sz w:val="28"/>
        </w:rPr>
        <w:t xml:space="preserve">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</w:t>
      </w:r>
      <w:r>
        <w:rPr>
          <w:sz w:val="28"/>
        </w:rPr>
        <w:t xml:space="preserve">. С победителем Конкурса заключается договор  </w:t>
      </w:r>
      <w:r>
        <w:rPr>
          <w:sz w:val="28"/>
        </w:rPr>
        <w:t>о размещении НТО на условиях</w:t>
      </w:r>
      <w:r>
        <w:rPr>
          <w:sz w:val="28"/>
        </w:rPr>
        <w:t xml:space="preserve"> и по цене</w:t>
      </w:r>
      <w:r>
        <w:rPr>
          <w:sz w:val="28"/>
        </w:rPr>
        <w:t>, указанн</w:t>
      </w:r>
      <w:r>
        <w:rPr>
          <w:sz w:val="28"/>
        </w:rPr>
        <w:t>ой</w:t>
      </w:r>
      <w:r>
        <w:rPr>
          <w:sz w:val="28"/>
        </w:rPr>
        <w:t xml:space="preserve"> в заявке на участие в Конкурсе, поданной участником Конкурса, с которым заключается такой договор, и в конкурсной документации. При заключении договора его цена не может быть ниже начальной цены предмета Конкурса, указанной в извещении о проведении Конкурса.</w:t>
      </w:r>
    </w:p>
    <w:p w14:paraId="32000000">
      <w:pPr>
        <w:widowControl w:val="0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Рассчитать размер всех возможных расходов по группе потенциальных а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ресатов правового регулирования не представляется возможным, в связи с </w:t>
      </w:r>
      <w:r>
        <w:rPr>
          <w:rFonts w:ascii="Times New Roman" w:hAnsi="Times New Roman"/>
          <w:sz w:val="28"/>
        </w:rPr>
        <w:t>тем, что р</w:t>
      </w:r>
      <w:r>
        <w:rPr>
          <w:rFonts w:ascii="Times New Roman" w:hAnsi="Times New Roman"/>
          <w:sz w:val="28"/>
        </w:rPr>
        <w:t>азмер платы за размещение НТО</w:t>
      </w:r>
      <w:r>
        <w:rPr>
          <w:rFonts w:ascii="Times New Roman" w:hAnsi="Times New Roman"/>
          <w:sz w:val="28"/>
        </w:rPr>
        <w:t xml:space="preserve"> определяется по результатам Конкурса, а также в соответствии с </w:t>
      </w:r>
      <w:r>
        <w:rPr>
          <w:rFonts w:ascii="Times New Roman" w:hAnsi="Times New Roman"/>
          <w:sz w:val="28"/>
        </w:rPr>
        <w:t>Методикой</w:t>
      </w:r>
      <w:r>
        <w:t xml:space="preserve"> </w:t>
      </w:r>
      <w:r>
        <w:rPr>
          <w:rFonts w:ascii="Times New Roman" w:hAnsi="Times New Roman"/>
          <w:sz w:val="28"/>
        </w:rPr>
        <w:t>определения начальной цены предмета Конкурса на право заключени</w:t>
      </w:r>
      <w:r>
        <w:rPr>
          <w:rFonts w:ascii="Times New Roman" w:hAnsi="Times New Roman"/>
          <w:sz w:val="28"/>
        </w:rPr>
        <w:t xml:space="preserve">я </w:t>
      </w:r>
      <w:r>
        <w:rPr>
          <w:rFonts w:ascii="Times New Roman" w:hAnsi="Times New Roman"/>
          <w:sz w:val="28"/>
        </w:rPr>
        <w:t>договора о размещении нестационарного торгового объекта на земельном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участке, находящемся в муниципальной собственности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либо государственная собственность на который не разграничена</w:t>
      </w:r>
      <w:r>
        <w:rPr>
          <w:rFonts w:ascii="Times New Roman" w:hAnsi="Times New Roman"/>
          <w:sz w:val="28"/>
        </w:rPr>
        <w:t>.</w:t>
      </w:r>
    </w:p>
    <w:p w14:paraId="33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Необоснованные расходы, связанные с регулирующим воздействием проекта, отсутствуют. </w:t>
      </w:r>
    </w:p>
    <w:p w14:paraId="34000000">
      <w:pPr>
        <w:pStyle w:val="Style_8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rFonts w:ascii="Times New Roman" w:hAnsi="Times New Roman"/>
          <w:sz w:val="28"/>
        </w:rPr>
        <w:t xml:space="preserve">    Р</w:t>
      </w:r>
      <w:r>
        <w:rPr>
          <w:rFonts w:ascii="Times New Roman" w:hAnsi="Times New Roman"/>
          <w:sz w:val="28"/>
        </w:rPr>
        <w:t>асходы бюджета муниципального образова</w:t>
      </w:r>
      <w:r>
        <w:rPr>
          <w:rFonts w:ascii="Times New Roman" w:hAnsi="Times New Roman"/>
          <w:sz w:val="28"/>
        </w:rPr>
        <w:t xml:space="preserve">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отсутствуют.</w:t>
      </w:r>
    </w:p>
    <w:p w14:paraId="35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 xml:space="preserve">   Доходы </w:t>
      </w:r>
      <w:r>
        <w:rPr>
          <w:sz w:val="28"/>
        </w:rPr>
        <w:t xml:space="preserve">бюджета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район, </w:t>
      </w:r>
      <w:r>
        <w:rPr>
          <w:sz w:val="28"/>
        </w:rPr>
        <w:t>получе</w:t>
      </w:r>
      <w:r>
        <w:rPr>
          <w:sz w:val="28"/>
        </w:rPr>
        <w:t xml:space="preserve">нные от регулирующего воздействия предлагаемого проекта </w:t>
      </w:r>
      <w:r>
        <w:rPr>
          <w:sz w:val="28"/>
        </w:rPr>
        <w:t>муниципального нормативного правового акта</w:t>
      </w:r>
      <w:r>
        <w:rPr>
          <w:sz w:val="28"/>
        </w:rPr>
        <w:t xml:space="preserve"> предполагаются и зависят  </w:t>
      </w:r>
      <w:r>
        <w:rPr>
          <w:sz w:val="28"/>
        </w:rPr>
        <w:t xml:space="preserve">от результатов проведения торгов на право размещения нестационарных торговых объектов </w:t>
      </w:r>
      <w:r>
        <w:rPr>
          <w:sz w:val="28"/>
        </w:rPr>
        <w:t>, также от количества обращений на  предоставление</w:t>
      </w:r>
      <w:r>
        <w:rPr>
          <w:sz w:val="28"/>
        </w:rPr>
        <w:t xml:space="preserve"> прав</w:t>
      </w:r>
      <w:r>
        <w:rPr>
          <w:sz w:val="28"/>
        </w:rPr>
        <w:t>а на</w:t>
      </w:r>
      <w:r>
        <w:rPr>
          <w:sz w:val="28"/>
        </w:rPr>
        <w:t xml:space="preserve"> размещения нестационарных торговых объектов</w:t>
      </w:r>
      <w:r>
        <w:rPr>
          <w:sz w:val="28"/>
        </w:rPr>
        <w:t>, в том числе  на льготных условиях (предоставление муниципальных преференций).</w:t>
      </w:r>
    </w:p>
    <w:p w14:paraId="36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30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06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13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37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9_ch"/>
          <w:sz w:val="28"/>
        </w:rPr>
        <w:fldChar w:fldCharType="begin"/>
      </w:r>
      <w:r>
        <w:rPr>
          <w:rStyle w:val="Style_9_ch"/>
          <w:sz w:val="28"/>
        </w:rPr>
        <w:instrText>HYPERLINK "http://viselki.net"</w:instrText>
      </w:r>
      <w:r>
        <w:rPr>
          <w:rStyle w:val="Style_9_ch"/>
          <w:sz w:val="28"/>
        </w:rPr>
        <w:fldChar w:fldCharType="separate"/>
      </w:r>
      <w:r>
        <w:rPr>
          <w:rStyle w:val="Style_9_ch"/>
          <w:sz w:val="28"/>
        </w:rPr>
        <w:t>http</w:t>
      </w:r>
      <w:r>
        <w:rPr>
          <w:rStyle w:val="Style_9_ch"/>
          <w:sz w:val="28"/>
        </w:rPr>
        <w:t>://</w:t>
      </w:r>
      <w:r>
        <w:rPr>
          <w:rStyle w:val="Style_9_ch"/>
          <w:sz w:val="28"/>
        </w:rPr>
        <w:t>viselki</w:t>
      </w:r>
      <w:r>
        <w:rPr>
          <w:rStyle w:val="Style_9_ch"/>
          <w:sz w:val="28"/>
        </w:rPr>
        <w:t>.</w:t>
      </w:r>
      <w:r>
        <w:rPr>
          <w:rStyle w:val="Style_9_ch"/>
          <w:sz w:val="28"/>
        </w:rPr>
        <w:t>net</w:t>
      </w:r>
      <w:r>
        <w:rPr>
          <w:rStyle w:val="Style_9_ch"/>
          <w:sz w:val="28"/>
        </w:rPr>
        <w:fldChar w:fldCharType="end"/>
      </w:r>
      <w:r>
        <w:rPr>
          <w:sz w:val="28"/>
        </w:rPr>
        <w:t>).</w:t>
      </w:r>
    </w:p>
    <w:p w14:paraId="38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39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3A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3B000000">
      <w:pPr>
        <w:rPr>
          <w:sz w:val="28"/>
        </w:rPr>
      </w:pPr>
    </w:p>
    <w:p w14:paraId="3C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3D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3E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   Т.П.Коробова</w:t>
      </w:r>
      <w:r>
        <w:rPr>
          <w:color w:val="000000"/>
          <w:sz w:val="28"/>
        </w:rPr>
        <w:t xml:space="preserve"> </w:t>
      </w:r>
    </w:p>
    <w:p w14:paraId="3F000000">
      <w:pPr>
        <w:rPr>
          <w:color w:val="000000"/>
          <w:sz w:val="28"/>
        </w:rPr>
      </w:pPr>
    </w:p>
    <w:p w14:paraId="40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20</w:t>
      </w:r>
      <w:r>
        <w:rPr>
          <w:color w:val="000000"/>
          <w:sz w:val="28"/>
        </w:rPr>
        <w:t>.07</w:t>
      </w:r>
      <w:r>
        <w:rPr>
          <w:color w:val="000000"/>
          <w:sz w:val="28"/>
        </w:rPr>
        <w:t>.2023</w:t>
      </w:r>
    </w:p>
    <w:p w14:paraId="41000000">
      <w:pPr>
        <w:rPr>
          <w:color w:val="000000"/>
          <w:sz w:val="20"/>
        </w:rPr>
      </w:pPr>
    </w:p>
    <w:p w14:paraId="42000000"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38" w:orient="portrait" w:w="11906"/>
      <w:pgMar w:bottom="454" w:footer="709" w:gutter="0" w:header="709" w:left="1701" w:right="567" w:top="45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  <w:rPr>
      <w:sz w:val="24"/>
    </w:rPr>
  </w:style>
  <w:style w:default="1" w:styleId="Style_10_ch" w:type="character">
    <w:name w:val="Normal"/>
    <w:link w:val="Style_10"/>
    <w:rPr>
      <w:sz w:val="24"/>
    </w:rPr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toc 4"/>
    <w:next w:val="Style_10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10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10"/>
    <w:link w:val="Style_14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heading 3"/>
    <w:next w:val="Style_10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16" w:type="paragraph">
    <w:name w:val="Гипертекстовая ссылка"/>
    <w:link w:val="Style_16_ch"/>
    <w:rPr>
      <w:b w:val="1"/>
      <w:color w:val="106BBE"/>
    </w:rPr>
  </w:style>
  <w:style w:styleId="Style_16_ch" w:type="character">
    <w:name w:val="Гипертекстовая ссылка"/>
    <w:link w:val="Style_16"/>
    <w:rPr>
      <w:b w:val="1"/>
      <w:color w:val="106BBE"/>
    </w:rPr>
  </w:style>
  <w:style w:styleId="Style_17" w:type="paragraph">
    <w:name w:val="Body Text Indent"/>
    <w:basedOn w:val="Style_10"/>
    <w:link w:val="Style_17_ch"/>
    <w:pPr>
      <w:ind w:firstLine="720" w:left="0"/>
      <w:jc w:val="both"/>
    </w:pPr>
    <w:rPr>
      <w:sz w:val="28"/>
    </w:rPr>
  </w:style>
  <w:style w:styleId="Style_17_ch" w:type="character">
    <w:name w:val="Body Text Indent"/>
    <w:basedOn w:val="Style_10_ch"/>
    <w:link w:val="Style_17"/>
    <w:rPr>
      <w:sz w:val="28"/>
    </w:rPr>
  </w:style>
  <w:style w:styleId="Style_6" w:type="paragraph">
    <w:name w:val="No Spacing"/>
    <w:link w:val="Style_6_ch"/>
    <w:rPr>
      <w:rFonts w:ascii="Calibri" w:hAnsi="Calibri"/>
      <w:sz w:val="22"/>
    </w:rPr>
  </w:style>
  <w:style w:styleId="Style_6_ch" w:type="character">
    <w:name w:val="No Spacing"/>
    <w:link w:val="Style_6"/>
    <w:rPr>
      <w:rFonts w:ascii="Calibri" w:hAnsi="Calibri"/>
      <w:sz w:val="22"/>
    </w:rPr>
  </w:style>
  <w:style w:styleId="Style_18" w:type="paragraph">
    <w:name w:val="header"/>
    <w:basedOn w:val="Style_10"/>
    <w:link w:val="Style_18_ch"/>
    <w:pPr>
      <w:tabs>
        <w:tab w:leader="none" w:pos="4677" w:val="center"/>
        <w:tab w:leader="none" w:pos="9355" w:val="right"/>
      </w:tabs>
      <w:ind/>
    </w:pPr>
  </w:style>
  <w:style w:styleId="Style_18_ch" w:type="character">
    <w:name w:val="header"/>
    <w:basedOn w:val="Style_10_ch"/>
    <w:link w:val="Style_18"/>
  </w:style>
  <w:style w:styleId="Style_19" w:type="paragraph">
    <w:name w:val="toc 3"/>
    <w:next w:val="Style_10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7" w:type="paragraph">
    <w:name w:val="ConsPlusTitle"/>
    <w:link w:val="Style_7_ch"/>
    <w:pPr>
      <w:widowControl w:val="0"/>
      <w:ind/>
    </w:pPr>
    <w:rPr>
      <w:b w:val="1"/>
      <w:sz w:val="24"/>
    </w:rPr>
  </w:style>
  <w:style w:styleId="Style_7_ch" w:type="character">
    <w:name w:val="ConsPlusTitle"/>
    <w:link w:val="Style_7"/>
    <w:rPr>
      <w:b w:val="1"/>
      <w:sz w:val="24"/>
    </w:rPr>
  </w:style>
  <w:style w:styleId="Style_20" w:type="paragraph">
    <w:name w:val="heading 5"/>
    <w:next w:val="Style_10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1" w:type="paragraph">
    <w:name w:val="heading 1"/>
    <w:basedOn w:val="Style_10"/>
    <w:next w:val="Style_10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10_ch"/>
    <w:link w:val="Style_1"/>
    <w:rPr>
      <w:b w:val="1"/>
      <w:color w:val="000000"/>
      <w:spacing w:val="-16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8" w:type="paragraph">
    <w:name w:val="Основной текст1"/>
    <w:basedOn w:val="Style_10"/>
    <w:link w:val="Style_8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8_ch" w:type="character">
    <w:name w:val="Основной текст1"/>
    <w:basedOn w:val="Style_10_ch"/>
    <w:link w:val="Style_8"/>
    <w:rPr>
      <w:color w:val="000000"/>
      <w:sz w:val="27"/>
    </w:rPr>
  </w:style>
  <w:style w:styleId="Style_9" w:type="paragraph">
    <w:name w:val="Hyperlink"/>
    <w:link w:val="Style_9_ch"/>
    <w:rPr>
      <w:color w:val="0000FF"/>
      <w:u w:val="single"/>
    </w:rPr>
  </w:style>
  <w:style w:styleId="Style_9_ch" w:type="character">
    <w:name w:val="Hyperlink"/>
    <w:link w:val="Style_9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10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toc 9"/>
    <w:next w:val="Style_10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0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toc 5"/>
    <w:next w:val="Style_10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Normal (Web)"/>
    <w:basedOn w:val="Style_10"/>
    <w:link w:val="Style_28_ch"/>
    <w:pPr>
      <w:spacing w:after="119" w:beforeAutospacing="on"/>
      <w:ind/>
    </w:pPr>
  </w:style>
  <w:style w:styleId="Style_28_ch" w:type="character">
    <w:name w:val="Normal (Web)"/>
    <w:basedOn w:val="Style_10_ch"/>
    <w:link w:val="Style_28"/>
  </w:style>
  <w:style w:styleId="Style_2" w:type="paragraph">
    <w:name w:val="Нормальный (таблица)"/>
    <w:basedOn w:val="Style_10"/>
    <w:next w:val="Style_10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10_ch"/>
    <w:link w:val="Style_2"/>
    <w:rPr>
      <w:rFonts w:ascii="Arial" w:hAnsi="Arial"/>
    </w:rPr>
  </w:style>
  <w:style w:styleId="Style_29" w:type="paragraph">
    <w:name w:val="Subtitle"/>
    <w:next w:val="Style_10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10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10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32" w:type="paragraph">
    <w:name w:val="heading 2"/>
    <w:next w:val="Style_10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2023-07-20T15:49:37Z</dcterms:modified>
</cp:coreProperties>
</file>