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</w:t>
      </w:r>
      <w:r>
        <w:rPr>
          <w:sz w:val="28"/>
        </w:rPr>
        <w:t>Начальнику отдела</w:t>
      </w:r>
    </w:p>
    <w:p w14:paraId="02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экономического развития,</w:t>
      </w:r>
    </w:p>
    <w:p w14:paraId="03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инвестиций и малого бизнеса</w:t>
      </w:r>
    </w:p>
    <w:p w14:paraId="04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администрации </w:t>
      </w:r>
    </w:p>
    <w:p w14:paraId="05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муниципального</w:t>
      </w:r>
      <w:r>
        <w:rPr>
          <w:sz w:val="28"/>
        </w:rPr>
        <w:t xml:space="preserve"> </w:t>
      </w:r>
      <w:r>
        <w:rPr>
          <w:sz w:val="28"/>
        </w:rPr>
        <w:t xml:space="preserve">  образования             </w:t>
      </w:r>
      <w:r>
        <w:rPr>
          <w:sz w:val="28"/>
        </w:rPr>
        <w:t xml:space="preserve">                                                       </w:t>
      </w:r>
      <w:r>
        <w:rPr>
          <w:sz w:val="28"/>
        </w:rPr>
        <w:t xml:space="preserve">  </w:t>
      </w:r>
      <w:r>
        <w:rPr>
          <w:sz w:val="28"/>
        </w:rPr>
        <w:t xml:space="preserve">               </w:t>
      </w:r>
    </w:p>
    <w:p w14:paraId="06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</w:t>
      </w:r>
      <w:r>
        <w:rPr>
          <w:sz w:val="28"/>
        </w:rPr>
        <w:t>Выселковский район</w:t>
      </w:r>
    </w:p>
    <w:p w14:paraId="07000000">
      <w:r>
        <w:rPr>
          <w:sz w:val="28"/>
        </w:rPr>
        <w:t xml:space="preserve">                                                                             </w:t>
      </w:r>
      <w:r>
        <w:rPr>
          <w:sz w:val="28"/>
        </w:rPr>
        <w:t>Н</w:t>
      </w:r>
      <w:r>
        <w:rPr>
          <w:sz w:val="28"/>
        </w:rPr>
        <w:t>.В.</w:t>
      </w:r>
      <w:r>
        <w:rPr>
          <w:sz w:val="28"/>
        </w:rPr>
        <w:t>Филь</w:t>
      </w:r>
    </w:p>
    <w:p w14:paraId="08000000">
      <w:pPr>
        <w:pStyle w:val="Style_1"/>
        <w:spacing w:before="0"/>
        <w:ind/>
        <w:rPr>
          <w:b w:val="0"/>
          <w:spacing w:val="0"/>
        </w:rPr>
      </w:pPr>
    </w:p>
    <w:p w14:paraId="09000000"/>
    <w:p w14:paraId="0A000000">
      <w:pPr>
        <w:pStyle w:val="Style_1"/>
        <w:spacing w:before="0"/>
        <w:ind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</w:r>
      <w:r>
        <w:rPr>
          <w:b w:val="0"/>
          <w:spacing w:val="0"/>
        </w:rPr>
        <w:t>об оценке регулирующего воздействия</w:t>
      </w:r>
    </w:p>
    <w:p w14:paraId="0B000000">
      <w:pPr>
        <w:ind/>
        <w:jc w:val="center"/>
        <w:rPr>
          <w:b w:val="1"/>
          <w:color w:val="000000"/>
          <w:sz w:val="28"/>
        </w:rPr>
      </w:pPr>
      <w:r>
        <w:rPr>
          <w:sz w:val="28"/>
        </w:rPr>
        <w:t xml:space="preserve">проекта  постановления администрации муниципального образования Выселковский </w:t>
      </w:r>
      <w:r>
        <w:rPr>
          <w:sz w:val="28"/>
        </w:rPr>
        <w:t>район «</w:t>
      </w:r>
      <w:r>
        <w:rPr>
          <w:rFonts w:ascii="Times New Roman" w:hAnsi="Times New Roman"/>
          <w:b w:val="0"/>
          <w:sz w:val="28"/>
        </w:rPr>
        <w:t xml:space="preserve">Об утверждении Порядка заключения соглашений о защите </w:t>
      </w:r>
      <w:r>
        <w:rPr>
          <w:rFonts w:ascii="Times New Roman" w:hAnsi="Times New Roman"/>
          <w:b w:val="0"/>
          <w:sz w:val="28"/>
        </w:rPr>
        <w:t xml:space="preserve">и поощрении капиталовложений со стороны </w:t>
      </w:r>
      <w:r>
        <w:rPr>
          <w:rFonts w:ascii="Times New Roman" w:hAnsi="Times New Roman"/>
          <w:b w:val="0"/>
          <w:sz w:val="28"/>
        </w:rPr>
        <w:t xml:space="preserve">муниципального образования </w:t>
      </w:r>
      <w:r>
        <w:rPr>
          <w:rFonts w:ascii="Times New Roman" w:hAnsi="Times New Roman"/>
          <w:b w:val="0"/>
          <w:sz w:val="28"/>
        </w:rPr>
        <w:t>Выселковский район</w:t>
      </w:r>
      <w:r>
        <w:rPr>
          <w:color w:val="000000"/>
          <w:sz w:val="28"/>
        </w:rPr>
        <w:t>»</w:t>
      </w:r>
    </w:p>
    <w:p w14:paraId="0C000000">
      <w:pPr>
        <w:ind/>
        <w:jc w:val="both"/>
        <w:rPr>
          <w:sz w:val="28"/>
        </w:rPr>
      </w:pPr>
      <w:r>
        <w:rPr>
          <w:sz w:val="28"/>
        </w:rPr>
        <w:t xml:space="preserve">           </w:t>
      </w:r>
    </w:p>
    <w:p w14:paraId="0D000000">
      <w:pPr>
        <w:ind/>
        <w:jc w:val="both"/>
        <w:rPr>
          <w:sz w:val="28"/>
        </w:rPr>
      </w:pPr>
      <w:r>
        <w:rPr>
          <w:sz w:val="28"/>
        </w:rPr>
        <w:t xml:space="preserve">           </w:t>
      </w:r>
      <w:r>
        <w:rPr>
          <w:sz w:val="28"/>
        </w:rPr>
        <w:t>Отделом экономического развития, инвестиций и малого бизнеса администрации муниципального образования Выселковский район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</w:t>
      </w:r>
      <w:r>
        <w:rPr>
          <w:sz w:val="28"/>
        </w:rPr>
        <w:t>т</w:t>
      </w:r>
      <w:r>
        <w:rPr>
          <w:sz w:val="28"/>
        </w:rPr>
        <w:t>ренные муниципальными нормативными правовыми актами обязательные тр</w:t>
      </w:r>
      <w:r>
        <w:rPr>
          <w:sz w:val="28"/>
        </w:rPr>
        <w:t>е</w:t>
      </w:r>
      <w:r>
        <w:rPr>
          <w:sz w:val="28"/>
        </w:rPr>
        <w:t>бования для субъектов предпринимательской и иной экономической деятельн</w:t>
      </w:r>
      <w:r>
        <w:rPr>
          <w:sz w:val="28"/>
        </w:rPr>
        <w:t>о</w:t>
      </w:r>
      <w:r>
        <w:rPr>
          <w:sz w:val="28"/>
        </w:rPr>
        <w:t>сти, обязанности для субъектов инвестицион</w:t>
      </w:r>
      <w:bookmarkStart w:id="1" w:name="_GoBack"/>
      <w:bookmarkEnd w:id="1"/>
      <w:r>
        <w:rPr>
          <w:sz w:val="28"/>
        </w:rPr>
        <w:t>ной деятельности (далее – Упо</w:t>
      </w:r>
      <w:r>
        <w:rPr>
          <w:sz w:val="28"/>
        </w:rPr>
        <w:t>л</w:t>
      </w:r>
      <w:r>
        <w:rPr>
          <w:sz w:val="28"/>
        </w:rPr>
        <w:t>номоченный орган)</w:t>
      </w:r>
      <w:r>
        <w:rPr>
          <w:sz w:val="28"/>
        </w:rPr>
        <w:t xml:space="preserve"> рассмотрен поступивший </w:t>
      </w:r>
      <w:r>
        <w:rPr>
          <w:sz w:val="28"/>
        </w:rPr>
        <w:t>10</w:t>
      </w:r>
      <w:r>
        <w:rPr>
          <w:sz w:val="28"/>
        </w:rPr>
        <w:t xml:space="preserve"> октября</w:t>
      </w:r>
      <w:r>
        <w:rPr>
          <w:sz w:val="28"/>
        </w:rPr>
        <w:t xml:space="preserve"> </w:t>
      </w:r>
      <w:r>
        <w:rPr>
          <w:sz w:val="28"/>
        </w:rPr>
        <w:t>2023</w:t>
      </w:r>
      <w:r>
        <w:rPr>
          <w:sz w:val="28"/>
        </w:rPr>
        <w:t xml:space="preserve"> </w:t>
      </w:r>
      <w:r>
        <w:rPr>
          <w:sz w:val="28"/>
        </w:rPr>
        <w:t xml:space="preserve">года проект  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rFonts w:ascii="Times New Roman" w:hAnsi="Times New Roman"/>
          <w:b w:val="0"/>
          <w:sz w:val="28"/>
        </w:rPr>
        <w:t xml:space="preserve">Об утверждении Порядка заключения соглашений о защите </w:t>
      </w:r>
      <w:r>
        <w:rPr>
          <w:rFonts w:ascii="Times New Roman" w:hAnsi="Times New Roman"/>
          <w:b w:val="0"/>
          <w:sz w:val="28"/>
        </w:rPr>
        <w:t xml:space="preserve">и поощрении капиталовложений со стороны </w:t>
      </w:r>
      <w:r>
        <w:rPr>
          <w:rFonts w:ascii="Times New Roman" w:hAnsi="Times New Roman"/>
          <w:b w:val="0"/>
          <w:sz w:val="28"/>
        </w:rPr>
        <w:t xml:space="preserve">муниципального образования </w:t>
      </w:r>
      <w:r>
        <w:rPr>
          <w:rFonts w:ascii="Times New Roman" w:hAnsi="Times New Roman"/>
          <w:b w:val="0"/>
          <w:sz w:val="28"/>
        </w:rPr>
        <w:t>Выселковский район</w:t>
      </w:r>
      <w:r>
        <w:rPr>
          <w:color w:val="000000"/>
          <w:sz w:val="28"/>
        </w:rPr>
        <w:t>»</w:t>
      </w:r>
      <w:r>
        <w:rPr>
          <w:sz w:val="28"/>
        </w:rPr>
        <w:t xml:space="preserve">  (далее – Проект постановления), направленный для подготовки настоящего Заключения </w:t>
      </w:r>
      <w:r>
        <w:rPr>
          <w:sz w:val="28"/>
        </w:rPr>
        <w:t xml:space="preserve">отделом экономического развития, инвестиций и малого бизнеса </w:t>
      </w:r>
      <w:r>
        <w:rPr>
          <w:sz w:val="28"/>
        </w:rPr>
        <w:t>администрации муниципального образования Выселковский район</w:t>
      </w:r>
      <w:r>
        <w:rPr>
          <w:sz w:val="28"/>
        </w:rPr>
        <w:t xml:space="preserve"> (далее – Разработчик), и сообщает следующее.</w:t>
      </w:r>
    </w:p>
    <w:p w14:paraId="0E000000">
      <w:pPr>
        <w:ind w:firstLine="708" w:left="0"/>
        <w:jc w:val="both"/>
        <w:rPr>
          <w:sz w:val="28"/>
        </w:rPr>
      </w:pPr>
      <w:r>
        <w:rPr>
          <w:sz w:val="28"/>
        </w:rPr>
        <w:t>В соответствии с Порядком проведения оценки регулирующего воздейс</w:t>
      </w:r>
      <w:r>
        <w:rPr>
          <w:sz w:val="28"/>
        </w:rPr>
        <w:t>т</w:t>
      </w:r>
      <w:r>
        <w:rPr>
          <w:sz w:val="28"/>
        </w:rPr>
        <w:t>вия проектов муниципальных нормативных правовых актов муниципального образования Выселковский рай</w:t>
      </w:r>
      <w:r>
        <w:rPr>
          <w:sz w:val="28"/>
        </w:rPr>
        <w:t>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</w:t>
      </w:r>
      <w:r>
        <w:rPr>
          <w:sz w:val="28"/>
        </w:rPr>
        <w:t>и</w:t>
      </w:r>
      <w:r>
        <w:rPr>
          <w:sz w:val="28"/>
        </w:rPr>
        <w:t>ческой деятельности, обязанности для субъектов инвестиционной деятельн</w:t>
      </w:r>
      <w:r>
        <w:rPr>
          <w:sz w:val="28"/>
        </w:rPr>
        <w:t>о</w:t>
      </w:r>
      <w:r>
        <w:rPr>
          <w:sz w:val="28"/>
        </w:rPr>
        <w:t>сти, утвержденным постановлением администрации муни</w:t>
      </w:r>
      <w:r>
        <w:rPr>
          <w:sz w:val="28"/>
        </w:rPr>
        <w:t>ципального образов</w:t>
      </w:r>
      <w:r>
        <w:rPr>
          <w:sz w:val="28"/>
        </w:rPr>
        <w:t>а</w:t>
      </w:r>
      <w:r>
        <w:rPr>
          <w:sz w:val="28"/>
        </w:rPr>
        <w:t xml:space="preserve">ния Выселковский район от 04 марта </w:t>
      </w:r>
      <w:r>
        <w:rPr>
          <w:sz w:val="28"/>
        </w:rPr>
        <w:t>2022 г</w:t>
      </w:r>
      <w:r>
        <w:rPr>
          <w:sz w:val="28"/>
        </w:rPr>
        <w:t>. № 162 (далее – Порядок) Пр</w:t>
      </w:r>
      <w:r>
        <w:rPr>
          <w:sz w:val="28"/>
        </w:rPr>
        <w:t>о</w:t>
      </w:r>
      <w:r>
        <w:rPr>
          <w:sz w:val="28"/>
        </w:rPr>
        <w:t xml:space="preserve">ект </w:t>
      </w:r>
      <w:r>
        <w:rPr>
          <w:sz w:val="28"/>
        </w:rPr>
        <w:t>постановления</w:t>
      </w:r>
      <w:r>
        <w:rPr>
          <w:sz w:val="28"/>
        </w:rPr>
        <w:t xml:space="preserve"> подлежит проведению оценки регулирующего воздействия.</w:t>
      </w:r>
    </w:p>
    <w:p w14:paraId="0F000000">
      <w:pPr>
        <w:ind/>
        <w:jc w:val="both"/>
        <w:rPr>
          <w:sz w:val="28"/>
        </w:rPr>
      </w:pPr>
      <w:r>
        <w:rPr>
          <w:sz w:val="28"/>
        </w:rPr>
        <w:t xml:space="preserve">         Проект </w:t>
      </w:r>
      <w:r>
        <w:rPr>
          <w:sz w:val="28"/>
        </w:rPr>
        <w:t>постановления</w:t>
      </w:r>
      <w:r>
        <w:rPr>
          <w:sz w:val="28"/>
        </w:rPr>
        <w:t xml:space="preserve"> содержит положения, имеющие высокую степень регулирующего воздействия.</w:t>
      </w:r>
    </w:p>
    <w:p w14:paraId="10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По результатам рассмотрения установлено, что при подготовке Проекта </w:t>
      </w:r>
      <w:r>
        <w:rPr>
          <w:rFonts w:ascii="Times New Roman" w:hAnsi="Times New Roman"/>
          <w:sz w:val="28"/>
        </w:rPr>
        <w:t>постановления</w:t>
      </w:r>
      <w:r>
        <w:rPr>
          <w:rFonts w:ascii="Times New Roman" w:hAnsi="Times New Roman"/>
          <w:color w:val="000000"/>
          <w:sz w:val="28"/>
        </w:rPr>
        <w:t xml:space="preserve"> тр</w:t>
      </w:r>
      <w:r>
        <w:rPr>
          <w:rFonts w:ascii="Times New Roman" w:hAnsi="Times New Roman"/>
          <w:color w:val="000000"/>
          <w:sz w:val="28"/>
        </w:rPr>
        <w:t>ебования Порядка разработчиком соблюдены.</w:t>
      </w:r>
    </w:p>
    <w:p w14:paraId="11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Проект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sz w:val="28"/>
        </w:rPr>
        <w:t>постановления</w:t>
      </w:r>
      <w:r>
        <w:rPr>
          <w:rFonts w:ascii="Times New Roman" w:hAnsi="Times New Roman"/>
          <w:color w:val="000000"/>
          <w:sz w:val="28"/>
        </w:rPr>
        <w:t xml:space="preserve"> н</w:t>
      </w:r>
      <w:r>
        <w:rPr>
          <w:rFonts w:ascii="Times New Roman" w:hAnsi="Times New Roman"/>
          <w:color w:val="000000"/>
          <w:sz w:val="28"/>
        </w:rPr>
        <w:t>аправлен разработчиком для проведения оценки регулирующего воздействия впервые.</w:t>
      </w:r>
    </w:p>
    <w:p w14:paraId="12000000">
      <w:pPr>
        <w:pStyle w:val="Style_3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14:paraId="13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 Разработчиком </w:t>
      </w:r>
      <w:r>
        <w:rPr>
          <w:rFonts w:ascii="Times New Roman" w:hAnsi="Times New Roman"/>
          <w:color w:val="000000"/>
          <w:sz w:val="28"/>
        </w:rPr>
        <w:t xml:space="preserve"> проведено сравнение предлагаемого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</w:t>
      </w:r>
      <w:r>
        <w:rPr>
          <w:color w:val="000000"/>
          <w:sz w:val="28"/>
        </w:rPr>
        <w:t xml:space="preserve"> </w:t>
      </w:r>
    </w:p>
    <w:p w14:paraId="14000000">
      <w:pPr>
        <w:ind/>
        <w:jc w:val="both"/>
        <w:rPr>
          <w:sz w:val="28"/>
        </w:rPr>
      </w:pPr>
      <w:r>
        <w:tab/>
      </w:r>
      <w:r>
        <w:rPr>
          <w:sz w:val="28"/>
        </w:rPr>
        <w:t>Проведена оценка эффективности предлагаемого варианта правового р</w:t>
      </w:r>
      <w:r>
        <w:rPr>
          <w:sz w:val="28"/>
        </w:rPr>
        <w:t>е</w:t>
      </w:r>
      <w:r>
        <w:rPr>
          <w:sz w:val="28"/>
        </w:rPr>
        <w:t>гулирования, основанного на сведениях, содержащихся в соответствующих разделах сводного отчета, и установлено следующее:</w:t>
      </w:r>
    </w:p>
    <w:p w14:paraId="15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6000000">
      <w:pPr>
        <w:pStyle w:val="Style_4"/>
        <w:ind/>
        <w:jc w:val="both"/>
        <w:rPr>
          <w:rFonts w:ascii="Times New Roman" w:hAnsi="Times New Roman"/>
          <w:sz w:val="28"/>
        </w:rPr>
      </w:pPr>
      <w:r>
        <w:t xml:space="preserve">    –</w:t>
      </w:r>
      <w:r>
        <w:rPr>
          <w:rFonts w:ascii="Times New Roman" w:hAnsi="Times New Roman"/>
          <w:sz w:val="28"/>
        </w:rPr>
        <w:t xml:space="preserve"> разработчиком определены потенциальные адресаты предлагаемого правового регулирования, дана их количественная оценка; </w:t>
      </w:r>
    </w:p>
    <w:p w14:paraId="17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>
        <w:rPr>
          <w:rFonts w:ascii="Times New Roman" w:hAnsi="Times New Roman"/>
          <w:sz w:val="28"/>
        </w:rPr>
        <w:t>цель предлагаемого проектом правового регулирования определена об</w:t>
      </w:r>
      <w:r>
        <w:rPr>
          <w:rFonts w:ascii="Times New Roman" w:hAnsi="Times New Roman"/>
          <w:sz w:val="28"/>
        </w:rPr>
        <w:t>ъ</w:t>
      </w:r>
      <w:r>
        <w:rPr>
          <w:rFonts w:ascii="Times New Roman" w:hAnsi="Times New Roman"/>
          <w:sz w:val="28"/>
        </w:rPr>
        <w:t>ективно</w:t>
      </w:r>
      <w:r>
        <w:rPr>
          <w:rFonts w:ascii="Times New Roman" w:hAnsi="Times New Roman"/>
          <w:color w:val="000000"/>
          <w:sz w:val="28"/>
        </w:rPr>
        <w:t>;</w:t>
      </w:r>
    </w:p>
    <w:p w14:paraId="18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сроки достижения заявленных целей правового регулирования – с момента вступления в силу </w:t>
      </w:r>
      <w:r>
        <w:rPr>
          <w:rFonts w:ascii="Times New Roman" w:hAnsi="Times New Roman"/>
          <w:color w:val="000000"/>
          <w:sz w:val="28"/>
        </w:rPr>
        <w:t>постановления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 xml:space="preserve">ноябрь </w:t>
      </w:r>
      <w:r>
        <w:rPr>
          <w:rFonts w:ascii="Times New Roman" w:hAnsi="Times New Roman"/>
          <w:color w:val="000000"/>
          <w:sz w:val="28"/>
        </w:rPr>
        <w:t>2023</w:t>
      </w:r>
      <w:r>
        <w:rPr>
          <w:rFonts w:ascii="Times New Roman" w:hAnsi="Times New Roman"/>
          <w:color w:val="000000"/>
          <w:sz w:val="28"/>
        </w:rPr>
        <w:t>г.</w:t>
      </w:r>
      <w:r>
        <w:rPr>
          <w:rFonts w:ascii="Times New Roman" w:hAnsi="Times New Roman"/>
          <w:color w:val="000000"/>
          <w:sz w:val="28"/>
        </w:rPr>
        <w:t>)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sz w:val="28"/>
        </w:rPr>
        <w:t>в связи с чем отсутствует необходимость в последующем мониторинге достижения целей;</w:t>
      </w:r>
    </w:p>
    <w:p w14:paraId="19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дополнительны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расход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местного бюджета (бюджета муниципального образования Выселковский район), связанны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с введением предлагаемого пр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вового регулирования,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не предполагаются</w:t>
      </w:r>
      <w:r>
        <w:rPr>
          <w:rFonts w:ascii="Times New Roman" w:hAnsi="Times New Roman"/>
          <w:sz w:val="28"/>
        </w:rPr>
        <w:t>;</w:t>
      </w:r>
    </w:p>
    <w:p w14:paraId="1A000000">
      <w:pPr>
        <w:pStyle w:val="Style_5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- по мнению разработчика, предполагаются </w:t>
      </w:r>
      <w:r>
        <w:rPr>
          <w:rFonts w:ascii="Times New Roman" w:hAnsi="Times New Roman"/>
          <w:sz w:val="28"/>
        </w:rPr>
        <w:t>информационные издержки</w:t>
      </w:r>
      <w:r>
        <w:rPr>
          <w:rFonts w:ascii="Times New Roman" w:hAnsi="Times New Roman"/>
          <w:sz w:val="28"/>
        </w:rPr>
        <w:t xml:space="preserve"> потенциальных адресатов предлагаемого правового регулирования </w:t>
      </w:r>
      <w:r>
        <w:rPr>
          <w:rFonts w:ascii="Times New Roman" w:hAnsi="Times New Roman"/>
          <w:sz w:val="28"/>
        </w:rPr>
        <w:t xml:space="preserve">в размере </w:t>
      </w:r>
      <w:r>
        <w:rPr>
          <w:rFonts w:ascii="Times New Roman" w:hAnsi="Times New Roman"/>
          <w:sz w:val="28"/>
        </w:rPr>
        <w:t>681,42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руб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в расчете на 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 заявителя 1 раз в год</w:t>
      </w:r>
      <w:r>
        <w:rPr>
          <w:rFonts w:ascii="Times New Roman" w:hAnsi="Times New Roman"/>
          <w:sz w:val="28"/>
        </w:rPr>
        <w:t xml:space="preserve">, связанные с подготовкой и предоставлением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отчетности об исполнении условий соглашения и условий реализации инвестиционного проекта</w:t>
      </w:r>
    </w:p>
    <w:p w14:paraId="1B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введения предлагаемого правового регулирования, по мнению разработчика, отсутствуют.</w:t>
      </w:r>
    </w:p>
    <w:p w14:paraId="1C000000">
      <w:pPr>
        <w:ind w:firstLine="743" w:left="0" w:right="-250"/>
        <w:rPr>
          <w:color w:val="000000"/>
          <w:sz w:val="28"/>
        </w:rPr>
      </w:pPr>
      <w:r>
        <w:rPr>
          <w:color w:val="000000"/>
          <w:sz w:val="28"/>
        </w:rPr>
        <w:t>В соответствии с Порядком установлено сл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дующее: </w:t>
      </w:r>
    </w:p>
    <w:p w14:paraId="1D000000">
      <w:pPr>
        <w:numPr>
          <w:ilvl w:val="0"/>
          <w:numId w:val="1"/>
        </w:numPr>
        <w:tabs>
          <w:tab w:leader="none" w:pos="1027" w:val="left"/>
        </w:tabs>
        <w:ind w:firstLine="74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14:paraId="1E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российские </w:t>
      </w:r>
      <w:r>
        <w:rPr>
          <w:rFonts w:ascii="Times New Roman" w:hAnsi="Times New Roman"/>
          <w:sz w:val="28"/>
        </w:rPr>
        <w:t>юридически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лица, реализующие инвестиционный проект</w:t>
      </w:r>
      <w:r>
        <w:rPr>
          <w:rFonts w:ascii="Times New Roman" w:hAnsi="Times New Roman"/>
          <w:sz w:val="28"/>
        </w:rPr>
        <w:t xml:space="preserve">. Количественная оценка </w:t>
      </w:r>
      <w:r>
        <w:rPr>
          <w:rFonts w:ascii="Times New Roman" w:hAnsi="Times New Roman"/>
          <w:sz w:val="28"/>
        </w:rPr>
        <w:t xml:space="preserve"> –</w:t>
      </w:r>
      <w:r>
        <w:rPr>
          <w:rFonts w:ascii="Times New Roman" w:hAnsi="Times New Roman"/>
          <w:sz w:val="28"/>
        </w:rPr>
        <w:t xml:space="preserve"> не ограниченно</w:t>
      </w:r>
      <w:r>
        <w:rPr>
          <w:rFonts w:ascii="Times New Roman" w:hAnsi="Times New Roman"/>
          <w:sz w:val="28"/>
        </w:rPr>
        <w:t>.</w:t>
      </w:r>
    </w:p>
    <w:p w14:paraId="1F000000">
      <w:pPr>
        <w:ind/>
        <w:jc w:val="both"/>
        <w:outlineLvl w:val="0"/>
        <w:rPr>
          <w:sz w:val="28"/>
        </w:rPr>
      </w:pPr>
      <w:r>
        <w:rPr>
          <w:sz w:val="28"/>
        </w:rPr>
        <w:t xml:space="preserve">     2. Проблема, на решение которой направлено предлагаемое проектом правовое регулирование, заключается </w:t>
      </w:r>
      <w:r>
        <w:rPr>
          <w:rFonts w:ascii="Times New Roman" w:hAnsi="Times New Roman"/>
          <w:sz w:val="28"/>
        </w:rPr>
        <w:t xml:space="preserve">в невозможности </w:t>
      </w:r>
      <w:r>
        <w:rPr>
          <w:rFonts w:ascii="Times New Roman" w:hAnsi="Times New Roman"/>
          <w:sz w:val="28"/>
        </w:rPr>
        <w:t xml:space="preserve">заключения соглашений о защите и поощрении капиталовложений со стороны муниципального образования Выселковский район </w:t>
      </w:r>
      <w:r>
        <w:rPr>
          <w:rFonts w:ascii="Times New Roman" w:hAnsi="Times New Roman"/>
          <w:sz w:val="28"/>
        </w:rPr>
        <w:t xml:space="preserve">с </w:t>
      </w:r>
      <w:r>
        <w:rPr>
          <w:rFonts w:ascii="Times New Roman" w:hAnsi="Times New Roman"/>
          <w:color w:val="000000"/>
          <w:sz w:val="28"/>
          <w:u w:val="none"/>
        </w:rPr>
        <w:t>организацией, реализующей инвестиционный проект</w:t>
      </w:r>
      <w:r>
        <w:rPr>
          <w:rFonts w:ascii="Times New Roman" w:hAnsi="Times New Roman"/>
          <w:sz w:val="28"/>
        </w:rPr>
        <w:t>.</w:t>
      </w:r>
    </w:p>
    <w:p w14:paraId="20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Принятие вышеуказанног</w:t>
      </w:r>
      <w:r>
        <w:rPr>
          <w:rFonts w:ascii="Times New Roman" w:hAnsi="Times New Roman"/>
          <w:sz w:val="28"/>
        </w:rPr>
        <w:t xml:space="preserve">о постановления администрации муниципального образования Выселковский район обусловлено необходимостью реализации </w:t>
      </w:r>
      <w:r>
        <w:rPr>
          <w:rFonts w:ascii="Times New Roman" w:hAnsi="Times New Roman"/>
          <w:color w:val="000000"/>
          <w:sz w:val="28"/>
          <w:u w:val="none"/>
        </w:rPr>
        <w:t xml:space="preserve">Федерального закона от 1 апреля 2020  года № 69-ФЗ "О защите и поощрении капиталовложений в Российской Федерации", </w:t>
      </w:r>
      <w:r>
        <w:rPr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Fonts w:ascii="Times New Roman" w:hAnsi="Times New Roman"/>
          <w:color w:val="000000"/>
          <w:sz w:val="28"/>
          <w:u w:val="none"/>
        </w:rPr>
        <w:instrText>HYPERLINK "https://municipal.garant.ru/document/redirect/405299567/0"</w:instrText>
      </w:r>
      <w:r>
        <w:rPr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Fonts w:ascii="Times New Roman" w:hAnsi="Times New Roman"/>
          <w:color w:val="000000"/>
          <w:sz w:val="28"/>
          <w:u w:val="none"/>
        </w:rPr>
        <w:t>постановления</w:t>
      </w:r>
      <w:r>
        <w:rPr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  <w:u w:val="none"/>
        </w:rPr>
        <w:t xml:space="preserve"> Правительства Российской Федерации от 13 сентября 2022 года № 1602 "О соглашениях о защите и поощрении капиталовложений", постановления главы администрации (губернатора) Краснодарского края от      8 ноября 2022 года № 796 "Об утверждении Порядка заключения соглашений о защите и поощрении капиталовложений, стороной которых не является Российская Федерация, изменения и прекращения действия таких соглашений, особенностей раскрытия информации о бенефициарных владельцах организации, реализующей проект, и Порядка осуществления мониторинга исполнения условий соглашения о защите и поощрении капиталовложений и условий реализации инвестиционного проекта, в отношении которого заключено такое соглашение</w:t>
      </w:r>
      <w:r>
        <w:rPr>
          <w:rFonts w:ascii="Times New Roman" w:hAnsi="Times New Roman"/>
          <w:sz w:val="28"/>
        </w:rPr>
        <w:t>, в том числе этапов реализации инвестиционного проекта"</w:t>
      </w:r>
      <w:r>
        <w:rPr>
          <w:rFonts w:ascii="Times New Roman" w:hAnsi="Times New Roman"/>
          <w:sz w:val="28"/>
        </w:rPr>
        <w:t>.</w:t>
      </w:r>
    </w:p>
    <w:p w14:paraId="21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настоящее время порядок </w:t>
      </w:r>
      <w:r>
        <w:rPr>
          <w:rFonts w:ascii="Times New Roman" w:hAnsi="Times New Roman"/>
          <w:sz w:val="28"/>
        </w:rPr>
        <w:t xml:space="preserve">заключения соглашений о защите и поощрении капиталовложений со стороны муниципального образования Выселковский район </w:t>
      </w:r>
      <w:r>
        <w:rPr>
          <w:rFonts w:ascii="Times New Roman" w:hAnsi="Times New Roman"/>
          <w:sz w:val="28"/>
        </w:rPr>
        <w:t xml:space="preserve">с </w:t>
      </w:r>
      <w:r>
        <w:rPr>
          <w:rFonts w:ascii="Times New Roman" w:hAnsi="Times New Roman"/>
          <w:color w:val="000000"/>
          <w:sz w:val="28"/>
          <w:u w:val="none"/>
        </w:rPr>
        <w:t>организацией, реализующей инвестиционный проект, не утвержден.</w:t>
      </w:r>
    </w:p>
    <w:p w14:paraId="22000000">
      <w:pPr>
        <w:pStyle w:val="Style_5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В целях решения указанной проблемы рассматриваемым проектом предлагается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утвердить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оряд</w:t>
      </w: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к </w:t>
      </w:r>
      <w:r>
        <w:rPr>
          <w:rFonts w:ascii="Times New Roman" w:hAnsi="Times New Roman"/>
          <w:sz w:val="28"/>
        </w:rPr>
        <w:t>заключения соглашений о защите и поощрении капиталовложений со стороны муниципального образования Выселковский район</w:t>
      </w:r>
      <w:r>
        <w:rPr>
          <w:rFonts w:ascii="Times New Roman" w:hAnsi="Times New Roman"/>
          <w:color w:val="000000"/>
          <w:sz w:val="28"/>
        </w:rPr>
        <w:t>.</w:t>
      </w:r>
    </w:p>
    <w:p w14:paraId="23000000">
      <w:pPr>
        <w:pStyle w:val="Style_5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4000000">
      <w:pPr>
        <w:pStyle w:val="Style_3"/>
        <w:ind w:firstLine="709" w:left="0"/>
        <w:jc w:val="both"/>
        <w:rPr>
          <w:rFonts w:ascii="Times New Roman" w:hAnsi="Times New Roman"/>
          <w:color w:val="000000"/>
          <w:sz w:val="28"/>
          <w:u w:val="none"/>
        </w:rPr>
      </w:pPr>
      <w:r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>Цель проекта отвечает принципам правового регулирования, установленным законодательством Российской Федерации и Краснодарского края, и заключается в</w:t>
      </w:r>
      <w:r>
        <w:t xml:space="preserve"> </w:t>
      </w:r>
      <w:r>
        <w:rPr>
          <w:rFonts w:ascii="Times New Roman" w:hAnsi="Times New Roman"/>
          <w:color w:val="000000"/>
          <w:sz w:val="28"/>
          <w:u w:val="none"/>
        </w:rPr>
        <w:t xml:space="preserve">обеспечении организации, реализующей инвестиционный проект, неприменение в ее отношении актов (решений) администрации муниципального образования Выселковский район, применяемых с учетом особенностей, установленных статьей 9 Федерального закона </w:t>
      </w:r>
      <w:r>
        <w:rPr>
          <w:rFonts w:ascii="Times New Roman" w:hAnsi="Times New Roman"/>
          <w:color w:val="000000"/>
          <w:sz w:val="28"/>
          <w:u w:val="none"/>
        </w:rPr>
        <w:t>от 1 апреля 2020  года № 69-ФЗ "О защите и поощрении капиталовложений в Российской Федерации"</w:t>
      </w:r>
      <w:r>
        <w:rPr>
          <w:rFonts w:ascii="Times New Roman" w:hAnsi="Times New Roman"/>
          <w:color w:val="000000"/>
          <w:sz w:val="28"/>
          <w:u w:val="none"/>
        </w:rPr>
        <w:t xml:space="preserve">.  </w:t>
      </w:r>
    </w:p>
    <w:p w14:paraId="25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sz w:val="28"/>
        </w:rPr>
        <w:t xml:space="preserve">    4. </w:t>
      </w:r>
      <w:r>
        <w:rPr>
          <w:sz w:val="28"/>
        </w:rPr>
        <w:t>Проект муниципального нормативного правового акта содержит пол</w:t>
      </w:r>
      <w:r>
        <w:rPr>
          <w:sz w:val="28"/>
        </w:rPr>
        <w:t>о</w:t>
      </w:r>
      <w:r>
        <w:rPr>
          <w:sz w:val="28"/>
        </w:rPr>
        <w:t xml:space="preserve">жения, </w:t>
      </w:r>
      <w:r>
        <w:rPr>
          <w:sz w:val="28"/>
        </w:rPr>
        <w:t xml:space="preserve">устанавливающие новые </w:t>
      </w:r>
      <w:r>
        <w:rPr>
          <w:sz w:val="28"/>
        </w:rPr>
        <w:t>обяза</w:t>
      </w:r>
      <w:r>
        <w:rPr>
          <w:sz w:val="28"/>
        </w:rPr>
        <w:t>нности</w:t>
      </w:r>
      <w:r>
        <w:rPr>
          <w:sz w:val="28"/>
        </w:rPr>
        <w:t xml:space="preserve"> для потенциальных адресатов предлагаемого проектом правового регулирования, в части выполнения требований к содержанию ходатайства </w:t>
      </w:r>
      <w:r>
        <w:rPr>
          <w:color w:val="000000"/>
          <w:sz w:val="28"/>
          <w:u w:val="none"/>
        </w:rPr>
        <w:t xml:space="preserve">о включении в соглашение обязанностей муниципального образования </w:t>
      </w:r>
      <w:r>
        <w:rPr>
          <w:color w:val="000000"/>
          <w:sz w:val="28"/>
          <w:u w:val="none"/>
        </w:rPr>
        <w:t>Выселковский район</w:t>
      </w:r>
      <w:r>
        <w:rPr>
          <w:color w:val="000000"/>
          <w:sz w:val="28"/>
          <w:u w:val="none"/>
        </w:rPr>
        <w:t xml:space="preserve"> </w:t>
      </w:r>
      <w:r>
        <w:rPr>
          <w:sz w:val="28"/>
        </w:rPr>
        <w:t xml:space="preserve">и предоставлению </w:t>
      </w:r>
      <w:r>
        <w:rPr>
          <w:color w:val="000000"/>
          <w:sz w:val="28"/>
          <w:u w:val="none"/>
        </w:rPr>
        <w:t xml:space="preserve">данных об исполнении условий соглашения и условий реализации инвестиционного проекта. </w:t>
      </w:r>
    </w:p>
    <w:p w14:paraId="26000000">
      <w:pPr>
        <w:widowControl w:val="0"/>
        <w:tabs>
          <w:tab w:leader="none" w:pos="709" w:val="left"/>
          <w:tab w:leader="none" w:pos="851" w:val="left"/>
        </w:tabs>
        <w:ind w:firstLine="709" w:left="0"/>
        <w:jc w:val="both"/>
        <w:rPr>
          <w:rFonts w:ascii="Times New Roman" w:hAnsi="Times New Roman"/>
          <w:color w:val="000000"/>
          <w:sz w:val="28"/>
          <w:u w:val="none"/>
        </w:rPr>
      </w:pPr>
      <w:r>
        <w:rPr>
          <w:sz w:val="28"/>
        </w:rPr>
        <w:t>Содержание и порядок реализации полномочий администрации муниципального образования Выселковский район</w:t>
      </w:r>
      <w:r>
        <w:rPr>
          <w:sz w:val="28"/>
        </w:rPr>
        <w:br/>
      </w:r>
      <w:r>
        <w:rPr>
          <w:sz w:val="28"/>
        </w:rPr>
        <w:t xml:space="preserve">в отношениях с указанными субъектами изменяются в части </w:t>
      </w:r>
      <w:r>
        <w:rPr>
          <w:rFonts w:ascii="Times New Roman" w:hAnsi="Times New Roman"/>
          <w:sz w:val="28"/>
        </w:rPr>
        <w:t>заключение соглашений о защите и поощрении капиталовложений со стороны муниципального образования Выселковский район</w:t>
      </w:r>
      <w:r>
        <w:rPr>
          <w:rFonts w:ascii="Times New Roman" w:hAnsi="Times New Roman"/>
          <w:sz w:val="28"/>
        </w:rPr>
        <w:t>.</w:t>
      </w:r>
      <w:r>
        <w:rPr>
          <w:sz w:val="28"/>
        </w:rPr>
        <w:t xml:space="preserve"> рассмотрения и согласования </w:t>
      </w:r>
      <w:r>
        <w:rPr>
          <w:rFonts w:ascii="Times New Roman" w:hAnsi="Times New Roman"/>
          <w:sz w:val="28"/>
        </w:rPr>
        <w:t>списка актов (решений) органов местного самоуправления муниципального образования Выселковский район, которые применяются с учетом особенностей, установленных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Fonts w:ascii="Times New Roman" w:hAnsi="Times New Roman"/>
          <w:color w:val="000000"/>
          <w:sz w:val="28"/>
          <w:u w:val="none"/>
        </w:rPr>
        <w:instrText>HYPERLINK "https://municipal.garant.ru/document/redirect/73826576/9"</w:instrText>
      </w:r>
      <w:r>
        <w:rPr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Fonts w:ascii="Times New Roman" w:hAnsi="Times New Roman"/>
          <w:color w:val="000000"/>
          <w:sz w:val="28"/>
          <w:u w:val="none"/>
        </w:rPr>
        <w:t>статьей 9</w:t>
      </w:r>
      <w:r>
        <w:rPr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sz w:val="28"/>
        </w:rPr>
        <w:t xml:space="preserve"> Федерального закона</w:t>
      </w:r>
      <w:r>
        <w:rPr>
          <w:sz w:val="28"/>
        </w:rPr>
        <w:t xml:space="preserve"> </w:t>
      </w:r>
      <w:r>
        <w:rPr>
          <w:rFonts w:ascii="Times New Roman" w:hAnsi="Times New Roman"/>
          <w:color w:val="000000"/>
          <w:sz w:val="28"/>
          <w:u w:val="none"/>
        </w:rPr>
        <w:t xml:space="preserve">от 1 апреля 2020  года № 69-ФЗ "О защите и поощрении капиталовложений в Российской Федерации", в части </w:t>
      </w:r>
      <w:r>
        <w:rPr>
          <w:color w:val="000000"/>
          <w:sz w:val="28"/>
          <w:u w:val="none"/>
        </w:rPr>
        <w:t>осуществления проверки исполнения организацией, реализующей инвестиционный проект, условий соглашения и условий реализации инвестиционного проекта</w:t>
      </w:r>
      <w:r>
        <w:rPr>
          <w:rFonts w:ascii="Times New Roman" w:hAnsi="Times New Roman"/>
          <w:color w:val="000000"/>
          <w:sz w:val="28"/>
          <w:u w:val="none"/>
        </w:rPr>
        <w:t xml:space="preserve"> и направлении отчета о его реализации </w:t>
      </w:r>
      <w:r>
        <w:rPr>
          <w:color w:val="000000"/>
          <w:sz w:val="28"/>
          <w:u w:val="none"/>
        </w:rPr>
        <w:t xml:space="preserve">в уполномоченный орган Краснодарского края. </w:t>
      </w:r>
    </w:p>
    <w:p w14:paraId="27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rPr>
          <w:sz w:val="28"/>
        </w:rPr>
        <w:t xml:space="preserve">      5. </w:t>
      </w:r>
      <w:r>
        <w:rPr>
          <w:sz w:val="28"/>
        </w:rPr>
        <w:t>Риски не достижения целей правового регулирования, а также возмо</w:t>
      </w:r>
      <w:r>
        <w:rPr>
          <w:sz w:val="28"/>
        </w:rPr>
        <w:t>ж</w:t>
      </w:r>
      <w:r>
        <w:rPr>
          <w:sz w:val="28"/>
        </w:rPr>
        <w:t>ные негативные последствия от введения правового регулирования для экон</w:t>
      </w:r>
      <w:r>
        <w:rPr>
          <w:sz w:val="28"/>
        </w:rPr>
        <w:t>о</w:t>
      </w:r>
      <w:r>
        <w:rPr>
          <w:sz w:val="28"/>
        </w:rPr>
        <w:t xml:space="preserve">мического развития муниципального образования Выселковский район </w:t>
      </w:r>
      <w:r>
        <w:rPr>
          <w:sz w:val="28"/>
        </w:rPr>
        <w:t>отсутствуют</w:t>
      </w:r>
      <w:r>
        <w:rPr>
          <w:sz w:val="28"/>
        </w:rPr>
        <w:t>.</w:t>
      </w:r>
    </w:p>
    <w:p w14:paraId="28000000">
      <w:pPr>
        <w:tabs>
          <w:tab w:leader="none" w:pos="1027" w:val="left"/>
        </w:tabs>
        <w:ind w:firstLine="0" w:left="34"/>
        <w:jc w:val="both"/>
        <w:rPr>
          <w:rFonts w:ascii="Times New Roman" w:hAnsi="Times New Roman"/>
          <w:sz w:val="28"/>
        </w:rPr>
      </w:pPr>
      <w:r>
        <w:t xml:space="preserve"> </w:t>
      </w:r>
      <w:r>
        <w:rPr>
          <w:sz w:val="28"/>
        </w:rPr>
        <w:t xml:space="preserve"> 6. </w:t>
      </w:r>
      <w:r>
        <w:rPr>
          <w:rFonts w:ascii="Times New Roman" w:hAnsi="Times New Roman"/>
          <w:sz w:val="28"/>
        </w:rPr>
        <w:t xml:space="preserve"> 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акта), предоставление отчетности и составляют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римерно </w:t>
      </w:r>
      <w:r>
        <w:rPr>
          <w:rFonts w:ascii="Times New Roman" w:hAnsi="Times New Roman"/>
          <w:sz w:val="28"/>
        </w:rPr>
        <w:t>681,42</w:t>
      </w:r>
      <w:r>
        <w:rPr>
          <w:rFonts w:ascii="Times New Roman" w:hAnsi="Times New Roman"/>
          <w:sz w:val="28"/>
        </w:rPr>
        <w:t>руб.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одного заявителя.</w:t>
      </w:r>
    </w:p>
    <w:p w14:paraId="29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firstLine="0" w:left="34"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2A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2B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Расчет информационных издержек произведен с использованием калькулятора расчета стандартных издержек (</w:t>
      </w:r>
      <w:r>
        <w:rPr>
          <w:rFonts w:ascii="Times New Roman" w:hAnsi="Times New Roman"/>
          <w:sz w:val="28"/>
        </w:rPr>
        <w:t>regulation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gov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ru</w:t>
      </w:r>
      <w:r>
        <w:rPr>
          <w:rFonts w:ascii="Times New Roman" w:hAnsi="Times New Roman"/>
          <w:sz w:val="28"/>
        </w:rPr>
        <w:t>):</w:t>
      </w:r>
    </w:p>
    <w:p w14:paraId="2C000000">
      <w:pPr>
        <w:widowControl w:val="0"/>
        <w:numPr>
          <w:numId w:val="2"/>
        </w:numPr>
        <w:tabs>
          <w:tab w:leader="none" w:pos="1027" w:val="left"/>
          <w:tab w:leader="none" w:pos="1369" w:val="left"/>
        </w:tabs>
        <w:spacing w:before="0" w:line="322" w:lineRule="exact"/>
        <w:ind w:hanging="360" w:left="720"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Название требования: предоставление отчетности;</w:t>
      </w:r>
    </w:p>
    <w:p w14:paraId="2D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тип требования: формирование информации;</w:t>
      </w:r>
    </w:p>
    <w:p w14:paraId="2E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раздел требования: информационное;</w:t>
      </w:r>
    </w:p>
    <w:p w14:paraId="2F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информационный элемент:  </w:t>
      </w:r>
      <w:r>
        <w:rPr>
          <w:rFonts w:ascii="Times New Roman" w:hAnsi="Times New Roman"/>
          <w:b w:val="0"/>
          <w:sz w:val="28"/>
        </w:rPr>
        <w:t>данные об исполнении условий соглашения и условий реализации инвестиционного проекта</w:t>
      </w:r>
      <w:r>
        <w:rPr>
          <w:rFonts w:ascii="Times New Roman" w:hAnsi="Times New Roman"/>
          <w:sz w:val="28"/>
        </w:rPr>
        <w:t>;</w:t>
      </w:r>
    </w:p>
    <w:p w14:paraId="30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1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масштаб: субъекты регулирования – 1;</w:t>
      </w:r>
    </w:p>
    <w:p w14:paraId="32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частота предоставления: 1 пакет документов 1 раз в год в течение периода реализации инвестиционного проекта;</w:t>
      </w:r>
    </w:p>
    <w:p w14:paraId="33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действия:</w:t>
      </w:r>
      <w:r>
        <w:rPr>
          <w:rFonts w:ascii="Times New Roman" w:hAnsi="Times New Roman"/>
          <w:sz w:val="28"/>
        </w:rPr>
        <w:t xml:space="preserve"> подготовка и предоставление </w:t>
      </w:r>
      <w:r>
        <w:rPr>
          <w:rFonts w:ascii="Times New Roman" w:hAnsi="Times New Roman"/>
          <w:b w:val="0"/>
          <w:sz w:val="28"/>
        </w:rPr>
        <w:t>данных об исполнении условий соглашения и условий реализации инвестиционного проекта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– 1,5 </w:t>
      </w:r>
      <w:r>
        <w:rPr>
          <w:rFonts w:ascii="Times New Roman" w:hAnsi="Times New Roman"/>
          <w:sz w:val="28"/>
        </w:rPr>
        <w:t xml:space="preserve">чел./час; </w:t>
      </w:r>
    </w:p>
    <w:p w14:paraId="34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предоставление отчетности в уполномоченный орган в соответствии с требованиями проекта муниципального нормативного правового акта – </w:t>
      </w:r>
    </w:p>
    <w:p w14:paraId="35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0,5 чел./час;</w:t>
      </w:r>
    </w:p>
    <w:p w14:paraId="36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среднемесячная заработная плата на одного работника по Выселковскому району– 57239,5 руб.;</w:t>
      </w:r>
    </w:p>
    <w:p w14:paraId="37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средняя стоимость часа работы: 340,71 руб. (57239,5 руб./21 рабочий день/8 час.);</w:t>
      </w:r>
    </w:p>
    <w:p w14:paraId="38000000">
      <w:pPr>
        <w:widowControl w:val="0"/>
        <w:tabs>
          <w:tab w:leader="none" w:pos="1027" w:val="left"/>
          <w:tab w:leader="none" w:pos="1369" w:val="left"/>
        </w:tabs>
        <w:spacing w:before="0" w:line="322" w:lineRule="exact"/>
        <w:ind w:right="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стоимость требования: 681,42 руб. (340,71 руб./час </w:t>
      </w:r>
      <w:r>
        <w:rPr>
          <w:rFonts w:ascii="Times New Roman" w:hAnsi="Times New Roman"/>
          <w:sz w:val="28"/>
        </w:rPr>
        <w:t>x</w:t>
      </w:r>
      <w:r>
        <w:rPr>
          <w:rFonts w:ascii="Times New Roman" w:hAnsi="Times New Roman"/>
          <w:sz w:val="28"/>
        </w:rPr>
        <w:t xml:space="preserve"> 2</w:t>
      </w:r>
      <w:r>
        <w:rPr>
          <w:rFonts w:ascii="Times New Roman" w:hAnsi="Times New Roman"/>
          <w:sz w:val="28"/>
        </w:rPr>
        <w:t xml:space="preserve"> чел./час) на 1-го заявителя 1 раз в год.</w:t>
      </w:r>
    </w:p>
    <w:p w14:paraId="39000000">
      <w:pPr>
        <w:pStyle w:val="Style_6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Необоснованные расходы, связанные с регулирующим воздействием проекта, отсутствуют. </w:t>
      </w:r>
    </w:p>
    <w:p w14:paraId="3A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асходы 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понесённые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>муниципального нормативного правового акта</w:t>
      </w:r>
      <w:r>
        <w:rPr>
          <w:rFonts w:ascii="Times New Roman" w:hAnsi="Times New Roman"/>
          <w:sz w:val="28"/>
        </w:rPr>
        <w:t xml:space="preserve"> -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не предполагаются.</w:t>
      </w:r>
    </w:p>
    <w:p w14:paraId="3B000000">
      <w:pPr>
        <w:pStyle w:val="Style_2"/>
        <w:ind w:firstLine="851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Доходы </w:t>
      </w:r>
      <w:r>
        <w:rPr>
          <w:rFonts w:ascii="Times New Roman" w:hAnsi="Times New Roman"/>
          <w:sz w:val="28"/>
        </w:rPr>
        <w:t xml:space="preserve">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</w:t>
      </w:r>
      <w:r>
        <w:rPr>
          <w:rFonts w:ascii="Times New Roman" w:hAnsi="Times New Roman"/>
          <w:sz w:val="28"/>
        </w:rPr>
        <w:t>получе</w:t>
      </w:r>
      <w:r>
        <w:rPr>
          <w:rFonts w:ascii="Times New Roman" w:hAnsi="Times New Roman"/>
          <w:sz w:val="28"/>
        </w:rPr>
        <w:t xml:space="preserve">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>муниципального нормативного правового акта</w:t>
      </w:r>
      <w:r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sz w:val="28"/>
        </w:rPr>
        <w:t>не предполагаются</w:t>
      </w:r>
      <w:r>
        <w:rPr>
          <w:rFonts w:ascii="Times New Roman" w:hAnsi="Times New Roman"/>
          <w:sz w:val="28"/>
        </w:rPr>
        <w:t xml:space="preserve">. </w:t>
      </w:r>
    </w:p>
    <w:p w14:paraId="3C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rPr>
          <w:color w:val="000000"/>
          <w:sz w:val="28"/>
        </w:rPr>
        <w:t xml:space="preserve">         7.</w:t>
      </w:r>
      <w:r>
        <w:rPr>
          <w:color w:val="000000"/>
          <w:sz w:val="28"/>
        </w:rPr>
        <w:t>В соответствии с Порядком уполномоченный орган провел    публичные ко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 xml:space="preserve">сультации по проекту в период с </w:t>
      </w:r>
      <w:r>
        <w:rPr>
          <w:color w:val="000000"/>
          <w:sz w:val="28"/>
        </w:rPr>
        <w:t>10</w:t>
      </w:r>
      <w:r>
        <w:rPr>
          <w:color w:val="000000"/>
          <w:sz w:val="28"/>
        </w:rPr>
        <w:t>.1</w:t>
      </w:r>
      <w:r>
        <w:rPr>
          <w:color w:val="000000"/>
          <w:sz w:val="28"/>
        </w:rPr>
        <w:t>0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23</w:t>
      </w:r>
      <w:r>
        <w:rPr>
          <w:color w:val="000000"/>
          <w:sz w:val="28"/>
        </w:rPr>
        <w:t xml:space="preserve"> г. по 2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>.10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23</w:t>
      </w:r>
      <w:r>
        <w:rPr>
          <w:color w:val="000000"/>
          <w:sz w:val="28"/>
        </w:rPr>
        <w:t xml:space="preserve"> г.</w:t>
      </w:r>
    </w:p>
    <w:p w14:paraId="3D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color w:val="000000"/>
          <w:sz w:val="28"/>
        </w:rPr>
        <w:t xml:space="preserve">         8.  </w:t>
      </w:r>
      <w:r>
        <w:rPr>
          <w:sz w:val="28"/>
        </w:rPr>
        <w:t>Информация о проводимых публичных консультациях была размещена на официальном интернет-портале администрации муниципального образования Выселковский район (</w:t>
      </w:r>
      <w:r>
        <w:rPr>
          <w:rStyle w:val="Style_7_ch"/>
          <w:sz w:val="28"/>
        </w:rPr>
        <w:fldChar w:fldCharType="begin"/>
      </w:r>
      <w:r>
        <w:rPr>
          <w:rStyle w:val="Style_7_ch"/>
          <w:sz w:val="28"/>
        </w:rPr>
        <w:instrText>HYPERLINK "http://viselki.net"</w:instrText>
      </w:r>
      <w:r>
        <w:rPr>
          <w:rStyle w:val="Style_7_ch"/>
          <w:sz w:val="28"/>
        </w:rPr>
        <w:fldChar w:fldCharType="separate"/>
      </w:r>
      <w:r>
        <w:rPr>
          <w:rStyle w:val="Style_7_ch"/>
          <w:sz w:val="28"/>
        </w:rPr>
        <w:t>http</w:t>
      </w:r>
      <w:r>
        <w:rPr>
          <w:rStyle w:val="Style_7_ch"/>
          <w:sz w:val="28"/>
        </w:rPr>
        <w:t>://</w:t>
      </w:r>
      <w:r>
        <w:rPr>
          <w:rStyle w:val="Style_7_ch"/>
          <w:sz w:val="28"/>
        </w:rPr>
        <w:t>viselki</w:t>
      </w:r>
      <w:r>
        <w:rPr>
          <w:rStyle w:val="Style_7_ch"/>
          <w:sz w:val="28"/>
        </w:rPr>
        <w:t>.</w:t>
      </w:r>
      <w:r>
        <w:rPr>
          <w:rStyle w:val="Style_7_ch"/>
          <w:sz w:val="28"/>
        </w:rPr>
        <w:t>net</w:t>
      </w:r>
      <w:r>
        <w:rPr>
          <w:rStyle w:val="Style_7_ch"/>
          <w:sz w:val="28"/>
        </w:rPr>
        <w:fldChar w:fldCharType="end"/>
      </w:r>
      <w:r>
        <w:rPr>
          <w:sz w:val="28"/>
        </w:rPr>
        <w:t>).</w:t>
      </w:r>
    </w:p>
    <w:p w14:paraId="3E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 данный проект был направлен на рассмотрение в адрес</w:t>
      </w:r>
      <w:r>
        <w:rPr>
          <w:rFonts w:ascii="Times New Roman" w:hAnsi="Times New Roman"/>
          <w:sz w:val="28"/>
        </w:rPr>
        <w:t xml:space="preserve"> Выселковской торгово-промышленной палаты, общественному представителю уполномоченного по защите прав предпринимателей в муниципальном образовании Выселковский район.</w:t>
      </w:r>
    </w:p>
    <w:p w14:paraId="3F000000">
      <w:pPr>
        <w:tabs>
          <w:tab w:leader="none" w:pos="1168" w:val="left"/>
          <w:tab w:leader="none" w:pos="1354" w:val="left"/>
        </w:tabs>
        <w:ind/>
        <w:jc w:val="both"/>
        <w:rPr>
          <w:color w:val="000000"/>
          <w:sz w:val="28"/>
        </w:rPr>
      </w:pPr>
      <w:r>
        <w:rPr>
          <w:sz w:val="28"/>
        </w:rPr>
        <w:t xml:space="preserve">      9. </w:t>
      </w:r>
      <w:r>
        <w:rPr>
          <w:sz w:val="28"/>
        </w:rPr>
        <w:t xml:space="preserve"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</w:t>
      </w:r>
      <w:r>
        <w:rPr>
          <w:sz w:val="28"/>
        </w:rPr>
        <w:t>от Выселковской торгово-промышленной палаты, общественного представителя уполномоченного по защите прав предпринимателей в муниципальном образовании Выселковский район</w:t>
      </w:r>
      <w:r>
        <w:rPr>
          <w:sz w:val="28"/>
        </w:rPr>
        <w:t xml:space="preserve"> не поступило. </w:t>
      </w:r>
    </w:p>
    <w:p w14:paraId="40000000">
      <w:pPr>
        <w:ind w:firstLine="851" w:left="0"/>
        <w:jc w:val="both"/>
        <w:rPr>
          <w:sz w:val="28"/>
        </w:rPr>
      </w:pPr>
      <w:r>
        <w:rPr>
          <w:color w:val="000000"/>
          <w:sz w:val="28"/>
        </w:rPr>
        <w:t xml:space="preserve">10. </w:t>
      </w:r>
      <w:r>
        <w:rPr>
          <w:sz w:val="28"/>
        </w:rPr>
        <w:t>По результатам оценки регулирующего воздействия сделаны выводы об отсутствии в представленном проекте нормативного правового акта положений, вводящих избыточные обязательные требования для субъектов предпринимательской и иной экономической деятельности, обязанности, запреты и ограничения для субъектов  инвестиционной деятельности или способствующих их введению, оказывающих негативное влияние на отрасли экономики муниципального образования Выселковский район, способствующих возникновению необоснованных расходов субъектов предпринимательской и иной экономической деятельности, субъектов инвестиционной деятельности, а также необоснованных расходов бюджета муниципального образования Выселковский район, и о возможности его дальнейшего согласования.</w:t>
      </w:r>
      <w:r>
        <w:rPr>
          <w:sz w:val="28"/>
        </w:rPr>
        <w:t xml:space="preserve">  </w:t>
      </w:r>
    </w:p>
    <w:p w14:paraId="41000000">
      <w:pPr>
        <w:ind w:firstLine="851" w:left="0"/>
        <w:jc w:val="both"/>
        <w:rPr>
          <w:sz w:val="28"/>
        </w:rPr>
      </w:pPr>
    </w:p>
    <w:p w14:paraId="42000000">
      <w:pPr>
        <w:ind w:firstLine="851" w:left="0"/>
        <w:jc w:val="both"/>
        <w:rPr>
          <w:sz w:val="28"/>
        </w:rPr>
      </w:pPr>
    </w:p>
    <w:p w14:paraId="43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начальника отдела </w:t>
      </w:r>
    </w:p>
    <w:p w14:paraId="44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экономического развития,</w:t>
      </w:r>
    </w:p>
    <w:p w14:paraId="45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инвестиций и малого бизнеса</w:t>
      </w:r>
    </w:p>
    <w:p w14:paraId="46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администрации муниципального</w:t>
      </w:r>
    </w:p>
    <w:p w14:paraId="47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образования Выселковский район </w:t>
      </w:r>
      <w:r>
        <w:rPr>
          <w:rFonts w:ascii="Times New Roman" w:hAnsi="Times New Roman"/>
          <w:sz w:val="28"/>
        </w:rPr>
        <w:t xml:space="preserve">                                                         </w:t>
      </w:r>
      <w:r>
        <w:rPr>
          <w:rFonts w:ascii="Times New Roman" w:hAnsi="Times New Roman"/>
          <w:sz w:val="28"/>
        </w:rPr>
        <w:t>Т.Н.Юрова</w:t>
      </w:r>
    </w:p>
    <w:p w14:paraId="48000000">
      <w:pPr>
        <w:rPr>
          <w:sz w:val="28"/>
        </w:rPr>
      </w:pPr>
    </w:p>
    <w:p w14:paraId="49000000">
      <w:pPr>
        <w:rPr>
          <w:color w:val="000000"/>
          <w:sz w:val="28"/>
        </w:rPr>
      </w:pPr>
      <w:r>
        <w:rPr>
          <w:color w:val="000000"/>
          <w:sz w:val="28"/>
        </w:rPr>
        <w:t xml:space="preserve">   </w:t>
      </w:r>
      <w:r>
        <w:rPr>
          <w:color w:val="000000"/>
          <w:sz w:val="28"/>
        </w:rPr>
        <w:t xml:space="preserve">                                                                                                            </w:t>
      </w:r>
    </w:p>
    <w:p w14:paraId="4A000000">
      <w:pPr>
        <w:rPr>
          <w:color w:val="000000"/>
          <w:sz w:val="20"/>
        </w:rPr>
      </w:pPr>
      <w:r>
        <w:rPr>
          <w:color w:val="000000"/>
          <w:sz w:val="28"/>
        </w:rPr>
        <w:t>30</w:t>
      </w:r>
      <w:r>
        <w:rPr>
          <w:color w:val="000000"/>
          <w:sz w:val="28"/>
        </w:rPr>
        <w:t>.10</w:t>
      </w:r>
      <w:r>
        <w:rPr>
          <w:color w:val="000000"/>
          <w:sz w:val="28"/>
        </w:rPr>
        <w:t>.2023</w:t>
      </w:r>
      <w:r>
        <w:rPr>
          <w:color w:val="000000"/>
          <w:sz w:val="28"/>
        </w:rPr>
        <w:t xml:space="preserve">        </w:t>
      </w:r>
    </w:p>
    <w:sectPr>
      <w:pgSz w:h="16838" w:orient="portrait" w:w="11906"/>
      <w:pgMar w:bottom="567" w:footer="709" w:gutter="0" w:header="709" w:left="1701" w:right="567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1103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hanging="360" w:left="1823"/>
      </w:pPr>
    </w:lvl>
    <w:lvl w:ilvl="2">
      <w:start w:val="1"/>
      <w:numFmt w:val="lowerRoman"/>
      <w:lvlText w:val="%3."/>
      <w:lvlJc w:val="right"/>
      <w:pPr>
        <w:ind w:hanging="180" w:left="2543"/>
      </w:pPr>
    </w:lvl>
    <w:lvl w:ilvl="3">
      <w:start w:val="1"/>
      <w:numFmt w:val="decimal"/>
      <w:lvlText w:val="%4."/>
      <w:lvlJc w:val="left"/>
      <w:pPr>
        <w:ind w:hanging="360" w:left="3263"/>
      </w:pPr>
    </w:lvl>
    <w:lvl w:ilvl="4">
      <w:start w:val="1"/>
      <w:numFmt w:val="lowerLetter"/>
      <w:lvlText w:val="%5."/>
      <w:lvlJc w:val="left"/>
      <w:pPr>
        <w:ind w:hanging="360" w:left="3983"/>
      </w:pPr>
    </w:lvl>
    <w:lvl w:ilvl="5">
      <w:start w:val="1"/>
      <w:numFmt w:val="lowerRoman"/>
      <w:lvlText w:val="%6."/>
      <w:lvlJc w:val="right"/>
      <w:pPr>
        <w:ind w:hanging="180" w:left="4703"/>
      </w:pPr>
    </w:lvl>
    <w:lvl w:ilvl="6">
      <w:start w:val="1"/>
      <w:numFmt w:val="decimal"/>
      <w:lvlText w:val="%7."/>
      <w:lvlJc w:val="left"/>
      <w:pPr>
        <w:ind w:hanging="360" w:left="5423"/>
      </w:pPr>
    </w:lvl>
    <w:lvl w:ilvl="7">
      <w:start w:val="1"/>
      <w:numFmt w:val="lowerLetter"/>
      <w:lvlText w:val="%8."/>
      <w:lvlJc w:val="left"/>
      <w:pPr>
        <w:ind w:hanging="360" w:left="6143"/>
      </w:pPr>
    </w:lvl>
    <w:lvl w:ilvl="8">
      <w:start w:val="1"/>
      <w:numFmt w:val="lowerRoman"/>
      <w:lvlText w:val="%9."/>
      <w:lvlJc w:val="right"/>
      <w:pPr>
        <w:ind w:hanging="180" w:left="6863"/>
      </w:pPr>
    </w:lvl>
  </w:abstractNum>
  <w:abstractNum w:abstractNumId="1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  <w:rPr>
      <w:sz w:val="24"/>
    </w:rPr>
  </w:style>
  <w:style w:default="1" w:styleId="Style_8_ch" w:type="character">
    <w:name w:val="Normal"/>
    <w:link w:val="Style_8"/>
    <w:rPr>
      <w:sz w:val="24"/>
    </w:rPr>
  </w:style>
  <w:style w:styleId="Style_9" w:type="paragraph">
    <w:name w:val="toc 2"/>
    <w:next w:val="Style_8"/>
    <w:link w:val="Style_9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toc 4"/>
    <w:next w:val="Style_8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3" w:type="paragraph">
    <w:name w:val="ConsPlusNormal"/>
    <w:link w:val="Style_3_ch"/>
    <w:pPr>
      <w:widowControl w:val="0"/>
      <w:ind/>
    </w:pPr>
    <w:rPr>
      <w:rFonts w:ascii="Arial" w:hAnsi="Arial"/>
    </w:rPr>
  </w:style>
  <w:style w:styleId="Style_3_ch" w:type="character">
    <w:name w:val="ConsPlusNormal"/>
    <w:link w:val="Style_3"/>
    <w:rPr>
      <w:rFonts w:ascii="Arial" w:hAnsi="Arial"/>
    </w:rPr>
  </w:style>
  <w:style w:styleId="Style_11" w:type="paragraph">
    <w:name w:val="toc 6"/>
    <w:next w:val="Style_8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8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heading 3"/>
    <w:next w:val="Style_8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2" w:type="paragraph">
    <w:name w:val="Нормальный (таблица)"/>
    <w:basedOn w:val="Style_8"/>
    <w:next w:val="Style_8"/>
    <w:link w:val="Style_2_ch"/>
    <w:pPr>
      <w:widowControl w:val="0"/>
      <w:ind/>
      <w:jc w:val="both"/>
    </w:pPr>
    <w:rPr>
      <w:rFonts w:ascii="Arial" w:hAnsi="Arial"/>
    </w:rPr>
  </w:style>
  <w:style w:styleId="Style_2_ch" w:type="character">
    <w:name w:val="Нормальный (таблица)"/>
    <w:basedOn w:val="Style_8_ch"/>
    <w:link w:val="Style_2"/>
    <w:rPr>
      <w:rFonts w:ascii="Arial" w:hAnsi="Arial"/>
    </w:rPr>
  </w:style>
  <w:style w:styleId="Style_14" w:type="paragraph">
    <w:name w:val="Абзац списка"/>
    <w:basedOn w:val="Style_8"/>
    <w:link w:val="Style_14_ch"/>
    <w:pPr>
      <w:spacing w:after="160" w:line="264" w:lineRule="auto"/>
      <w:ind w:firstLine="0" w:left="720"/>
      <w:contextualSpacing w:val="1"/>
    </w:pPr>
    <w:rPr>
      <w:rFonts w:ascii="Calibri" w:hAnsi="Calibri"/>
      <w:sz w:val="22"/>
    </w:rPr>
  </w:style>
  <w:style w:styleId="Style_14_ch" w:type="character">
    <w:name w:val="Абзац списка"/>
    <w:basedOn w:val="Style_8_ch"/>
    <w:link w:val="Style_14"/>
    <w:rPr>
      <w:rFonts w:ascii="Calibri" w:hAnsi="Calibri"/>
      <w:sz w:val="22"/>
    </w:rPr>
  </w:style>
  <w:style w:styleId="Style_15" w:type="paragraph">
    <w:name w:val="header"/>
    <w:basedOn w:val="Style_8"/>
    <w:link w:val="Style_15_ch"/>
    <w:pPr>
      <w:tabs>
        <w:tab w:leader="none" w:pos="4677" w:val="center"/>
        <w:tab w:leader="none" w:pos="9355" w:val="right"/>
      </w:tabs>
      <w:ind/>
    </w:pPr>
  </w:style>
  <w:style w:styleId="Style_15_ch" w:type="character">
    <w:name w:val="header"/>
    <w:basedOn w:val="Style_8_ch"/>
    <w:link w:val="Style_15"/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No Spacing"/>
    <w:link w:val="Style_17_ch"/>
    <w:rPr>
      <w:rFonts w:ascii="Calibri" w:hAnsi="Calibri"/>
      <w:sz w:val="22"/>
    </w:rPr>
  </w:style>
  <w:style w:styleId="Style_17_ch" w:type="character">
    <w:name w:val="No Spacing"/>
    <w:link w:val="Style_17"/>
    <w:rPr>
      <w:rFonts w:ascii="Calibri" w:hAnsi="Calibri"/>
      <w:sz w:val="22"/>
    </w:rPr>
  </w:style>
  <w:style w:styleId="Style_18" w:type="paragraph">
    <w:name w:val="comment"/>
    <w:basedOn w:val="Style_16"/>
    <w:link w:val="Style_18_ch"/>
  </w:style>
  <w:style w:styleId="Style_18_ch" w:type="character">
    <w:name w:val="comment"/>
    <w:basedOn w:val="Style_16_ch"/>
    <w:link w:val="Style_18"/>
  </w:style>
  <w:style w:styleId="Style_19" w:type="paragraph">
    <w:name w:val="toc 3"/>
    <w:next w:val="Style_8"/>
    <w:link w:val="Style_1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Normal (Web)"/>
    <w:basedOn w:val="Style_8"/>
    <w:link w:val="Style_20_ch"/>
    <w:pPr>
      <w:spacing w:after="119" w:beforeAutospacing="on"/>
      <w:ind/>
    </w:pPr>
  </w:style>
  <w:style w:styleId="Style_20_ch" w:type="character">
    <w:name w:val="Normal (Web)"/>
    <w:basedOn w:val="Style_8_ch"/>
    <w:link w:val="Style_20"/>
  </w:style>
  <w:style w:styleId="Style_4" w:type="paragraph">
    <w:name w:val="Без интервала"/>
    <w:link w:val="Style_4_ch"/>
    <w:rPr>
      <w:rFonts w:ascii="Calibri" w:hAnsi="Calibri"/>
      <w:sz w:val="22"/>
    </w:rPr>
  </w:style>
  <w:style w:styleId="Style_4_ch" w:type="character">
    <w:name w:val="Без интервала"/>
    <w:link w:val="Style_4"/>
    <w:rPr>
      <w:rFonts w:ascii="Calibri" w:hAnsi="Calibri"/>
      <w:sz w:val="22"/>
    </w:rPr>
  </w:style>
  <w:style w:styleId="Style_21" w:type="paragraph">
    <w:name w:val="heading 5"/>
    <w:next w:val="Style_8"/>
    <w:link w:val="Style_2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6" w:type="paragraph">
    <w:name w:val="Основной текст1"/>
    <w:basedOn w:val="Style_8"/>
    <w:link w:val="Style_6_ch"/>
    <w:pPr>
      <w:widowControl w:val="0"/>
      <w:spacing w:before="300" w:line="322" w:lineRule="exact"/>
      <w:ind/>
      <w:jc w:val="both"/>
    </w:pPr>
    <w:rPr>
      <w:color w:val="000000"/>
      <w:sz w:val="27"/>
    </w:rPr>
  </w:style>
  <w:style w:styleId="Style_6_ch" w:type="character">
    <w:name w:val="Основной текст1"/>
    <w:basedOn w:val="Style_8_ch"/>
    <w:link w:val="Style_6"/>
    <w:rPr>
      <w:color w:val="000000"/>
      <w:sz w:val="27"/>
    </w:rPr>
  </w:style>
  <w:style w:styleId="Style_1" w:type="paragraph">
    <w:name w:val="heading 1"/>
    <w:basedOn w:val="Style_8"/>
    <w:next w:val="Style_8"/>
    <w:link w:val="Style_1_ch"/>
    <w:uiPriority w:val="9"/>
    <w:qFormat/>
    <w:pPr>
      <w:keepNext w:val="1"/>
      <w:widowControl w:val="0"/>
      <w:spacing w:before="5" w:line="326" w:lineRule="exact"/>
      <w:ind w:firstLine="0" w:left="38"/>
      <w:jc w:val="center"/>
      <w:outlineLvl w:val="0"/>
    </w:pPr>
    <w:rPr>
      <w:b w:val="1"/>
      <w:color w:val="000000"/>
      <w:spacing w:val="-16"/>
      <w:sz w:val="28"/>
    </w:rPr>
  </w:style>
  <w:style w:styleId="Style_1_ch" w:type="character">
    <w:name w:val="heading 1"/>
    <w:basedOn w:val="Style_8_ch"/>
    <w:link w:val="Style_1"/>
    <w:rPr>
      <w:b w:val="1"/>
      <w:color w:val="000000"/>
      <w:spacing w:val="-16"/>
      <w:sz w:val="28"/>
    </w:rPr>
  </w:style>
  <w:style w:styleId="Style_7" w:type="paragraph">
    <w:name w:val="Hyperlink"/>
    <w:link w:val="Style_7_ch"/>
    <w:rPr>
      <w:color w:val="0000FF"/>
      <w:u w:val="single"/>
    </w:rPr>
  </w:style>
  <w:style w:styleId="Style_7_ch" w:type="character">
    <w:name w:val="Hyperlink"/>
    <w:link w:val="Style_7"/>
    <w:rPr>
      <w:color w:val="0000FF"/>
      <w:u w:val="single"/>
    </w:rPr>
  </w:style>
  <w:style w:styleId="Style_22" w:type="paragraph">
    <w:name w:val="Footnote"/>
    <w:basedOn w:val="Style_8"/>
    <w:link w:val="Style_22_ch"/>
    <w:rPr>
      <w:rFonts w:ascii="Calibri" w:hAnsi="Calibri"/>
      <w:sz w:val="20"/>
    </w:rPr>
  </w:style>
  <w:style w:styleId="Style_22_ch" w:type="character">
    <w:name w:val="Footnote"/>
    <w:basedOn w:val="Style_8_ch"/>
    <w:link w:val="Style_22"/>
    <w:rPr>
      <w:rFonts w:ascii="Calibri" w:hAnsi="Calibri"/>
      <w:sz w:val="20"/>
    </w:rPr>
  </w:style>
  <w:style w:styleId="Style_23" w:type="paragraph">
    <w:name w:val="ConsPlusTitle"/>
    <w:link w:val="Style_23_ch"/>
    <w:pPr>
      <w:widowControl w:val="0"/>
      <w:ind/>
    </w:pPr>
    <w:rPr>
      <w:b w:val="1"/>
      <w:sz w:val="24"/>
    </w:rPr>
  </w:style>
  <w:style w:styleId="Style_23_ch" w:type="character">
    <w:name w:val="ConsPlusTitle"/>
    <w:link w:val="Style_23"/>
    <w:rPr>
      <w:b w:val="1"/>
      <w:sz w:val="24"/>
    </w:rPr>
  </w:style>
  <w:style w:styleId="Style_24" w:type="paragraph">
    <w:name w:val="toc 1"/>
    <w:next w:val="Style_8"/>
    <w:link w:val="Style_2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spacing w:line="240" w:lineRule="auto"/>
      <w:ind/>
      <w:jc w:val="both"/>
    </w:pPr>
    <w:rPr>
      <w:rFonts w:ascii="XO Thames" w:hAnsi="XO Thames"/>
      <w:sz w:val="20"/>
    </w:rPr>
  </w:style>
  <w:style w:styleId="Style_25_ch" w:type="character">
    <w:name w:val="Header and Footer"/>
    <w:link w:val="Style_25"/>
    <w:rPr>
      <w:rFonts w:ascii="XO Thames" w:hAnsi="XO Thames"/>
      <w:sz w:val="20"/>
    </w:rPr>
  </w:style>
  <w:style w:styleId="Style_26" w:type="paragraph">
    <w:name w:val="toc 9"/>
    <w:next w:val="Style_8"/>
    <w:link w:val="Style_2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Гипертекстовая ссылка"/>
    <w:link w:val="Style_27_ch"/>
    <w:rPr>
      <w:b w:val="1"/>
      <w:color w:val="106BBE"/>
    </w:rPr>
  </w:style>
  <w:style w:styleId="Style_27_ch" w:type="character">
    <w:name w:val="Гипертекстовая ссылка"/>
    <w:link w:val="Style_27"/>
    <w:rPr>
      <w:b w:val="1"/>
      <w:color w:val="106BBE"/>
    </w:rPr>
  </w:style>
  <w:style w:styleId="Style_28" w:type="paragraph">
    <w:name w:val="toc 8"/>
    <w:next w:val="Style_8"/>
    <w:link w:val="Style_2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footnote reference"/>
    <w:link w:val="Style_29_ch"/>
    <w:rPr>
      <w:vertAlign w:val="superscript"/>
    </w:rPr>
  </w:style>
  <w:style w:styleId="Style_29_ch" w:type="character">
    <w:name w:val="footnote reference"/>
    <w:link w:val="Style_29"/>
    <w:rPr>
      <w:vertAlign w:val="superscript"/>
    </w:rPr>
  </w:style>
  <w:style w:styleId="Style_30" w:type="paragraph">
    <w:name w:val="toc 5"/>
    <w:next w:val="Style_8"/>
    <w:link w:val="Style_3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formattext"/>
    <w:basedOn w:val="Style_8"/>
    <w:link w:val="Style_31_ch"/>
    <w:pPr>
      <w:spacing w:afterAutospacing="on" w:beforeAutospacing="on"/>
      <w:ind/>
    </w:pPr>
  </w:style>
  <w:style w:styleId="Style_31_ch" w:type="character">
    <w:name w:val="formattext"/>
    <w:basedOn w:val="Style_8_ch"/>
    <w:link w:val="Style_31"/>
  </w:style>
  <w:style w:styleId="Style_32" w:type="paragraph">
    <w:name w:val="Subtitle"/>
    <w:next w:val="Style_8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5" w:type="paragraph">
    <w:name w:val="ConsPlusNonformat"/>
    <w:link w:val="Style_5_ch"/>
    <w:pPr>
      <w:widowControl w:val="0"/>
      <w:ind/>
    </w:pPr>
    <w:rPr>
      <w:rFonts w:ascii="Courier New" w:hAnsi="Courier New"/>
    </w:rPr>
  </w:style>
  <w:style w:styleId="Style_5_ch" w:type="character">
    <w:name w:val="ConsPlusNonformat"/>
    <w:link w:val="Style_5"/>
    <w:rPr>
      <w:rFonts w:ascii="Courier New" w:hAnsi="Courier New"/>
    </w:rPr>
  </w:style>
  <w:style w:styleId="Style_33" w:type="paragraph">
    <w:name w:val="Title"/>
    <w:next w:val="Style_8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8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basedOn w:val="Style_8"/>
    <w:next w:val="Style_8"/>
    <w:link w:val="Style_35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35_ch" w:type="character">
    <w:name w:val="heading 2"/>
    <w:basedOn w:val="Style_8_ch"/>
    <w:link w:val="Style_35"/>
    <w:rPr>
      <w:rFonts w:ascii="Arial" w:hAnsi="Arial"/>
      <w:b w:val="1"/>
      <w:i w:val="1"/>
      <w:sz w:val="28"/>
    </w:r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2023-10-31T13:59:32Z</dcterms:modified>
</cp:coreProperties>
</file>