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79E" w:rsidRDefault="000F679E" w:rsidP="000F679E">
      <w:pPr>
        <w:shd w:val="clear" w:color="auto" w:fill="FFFFFF"/>
        <w:spacing w:after="0" w:line="336" w:lineRule="atLeast"/>
        <w:ind w:firstLine="300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</w:p>
    <w:p w:rsidR="000F679E" w:rsidRDefault="000F679E" w:rsidP="000F679E">
      <w:pPr>
        <w:shd w:val="clear" w:color="auto" w:fill="FFFFFF"/>
        <w:spacing w:after="0" w:line="336" w:lineRule="atLeast"/>
        <w:ind w:firstLine="300"/>
        <w:jc w:val="both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0F679E"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 xml:space="preserve">Уважаемые жители </w:t>
      </w:r>
      <w:proofErr w:type="spellStart"/>
      <w:r w:rsidRPr="000F679E"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>Выселковского</w:t>
      </w:r>
      <w:proofErr w:type="spellEnd"/>
      <w:r w:rsidRPr="000F679E"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 xml:space="preserve"> района!</w:t>
      </w:r>
    </w:p>
    <w:p w:rsidR="000F679E" w:rsidRPr="000F679E" w:rsidRDefault="000F679E" w:rsidP="000F679E">
      <w:pPr>
        <w:shd w:val="clear" w:color="auto" w:fill="FFFFFF"/>
        <w:spacing w:after="0" w:line="336" w:lineRule="atLeast"/>
        <w:ind w:firstLine="300"/>
        <w:jc w:val="both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</w:p>
    <w:p w:rsidR="000F679E" w:rsidRPr="000F679E" w:rsidRDefault="000F679E" w:rsidP="000F679E">
      <w:pPr>
        <w:shd w:val="clear" w:color="auto" w:fill="FFFFFF"/>
        <w:spacing w:after="0" w:line="336" w:lineRule="atLeast"/>
        <w:ind w:firstLine="300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Администрация муниципального образования </w:t>
      </w:r>
      <w:proofErr w:type="spellStart"/>
      <w:r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Выселковский</w:t>
      </w:r>
      <w:proofErr w:type="spellEnd"/>
      <w:r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муниципальный</w:t>
      </w:r>
      <w:bookmarkStart w:id="0" w:name="_GoBack"/>
      <w:bookmarkEnd w:id="0"/>
      <w:r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район информирует</w:t>
      </w:r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, что </w:t>
      </w:r>
      <w:r w:rsidRPr="000F679E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ru-RU"/>
        </w:rPr>
        <w:t>с 01.09.2025 года вступили в силу</w:t>
      </w:r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поправки, внесенные в Закон РФ от 07.02.1992 № 2300-1 «О защите прав потребителей», а также иные нормативные правовые акты в сфере защиты прав потребителей.</w:t>
      </w:r>
    </w:p>
    <w:p w:rsidR="000F679E" w:rsidRPr="000F679E" w:rsidRDefault="000F679E" w:rsidP="000F679E">
      <w:pPr>
        <w:shd w:val="clear" w:color="auto" w:fill="FFFFFF"/>
        <w:spacing w:after="0" w:line="336" w:lineRule="atLeast"/>
        <w:ind w:firstLine="300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Так, </w:t>
      </w:r>
      <w:r w:rsidRPr="000F679E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ru-RU"/>
        </w:rPr>
        <w:t>Федеральным законом РФ № 69-ФЗ от 07.04.2025</w:t>
      </w:r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 «О внесении изменений в статью 16 Закона «О защите прав </w:t>
      </w:r>
      <w:proofErr w:type="gramStart"/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потребителей»  введены</w:t>
      </w:r>
      <w:proofErr w:type="gramEnd"/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новые меры против навязывания потребителям дополнительных услуг, работ и товаров.</w:t>
      </w:r>
    </w:p>
    <w:p w:rsidR="000F679E" w:rsidRPr="000F679E" w:rsidRDefault="000F679E" w:rsidP="000F679E">
      <w:pPr>
        <w:shd w:val="clear" w:color="auto" w:fill="FFFFFF"/>
        <w:spacing w:after="0" w:line="336" w:lineRule="atLeast"/>
        <w:ind w:firstLine="300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Продавцам, владельцам </w:t>
      </w:r>
      <w:proofErr w:type="spellStart"/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агрегаторов</w:t>
      </w:r>
      <w:proofErr w:type="spellEnd"/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и исполнителям запрещено:</w:t>
      </w:r>
    </w:p>
    <w:p w:rsidR="000F679E" w:rsidRPr="000F679E" w:rsidRDefault="000F679E" w:rsidP="000F679E">
      <w:pPr>
        <w:shd w:val="clear" w:color="auto" w:fill="FFFFFF"/>
        <w:spacing w:after="0" w:line="336" w:lineRule="atLeast"/>
        <w:ind w:firstLine="300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0F679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►</w:t>
      </w:r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</w:t>
      </w:r>
      <w:r w:rsidRPr="000F679E">
        <w:rPr>
          <w:rFonts w:ascii="Verdana" w:eastAsia="Times New Roman" w:hAnsi="Verdana" w:cs="Verdana"/>
          <w:color w:val="000000"/>
          <w:sz w:val="19"/>
          <w:szCs w:val="19"/>
          <w:lang w:eastAsia="ru-RU"/>
        </w:rPr>
        <w:t>проставлять</w:t>
      </w:r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</w:t>
      </w:r>
      <w:r w:rsidRPr="000F679E">
        <w:rPr>
          <w:rFonts w:ascii="Verdana" w:eastAsia="Times New Roman" w:hAnsi="Verdana" w:cs="Verdana"/>
          <w:color w:val="000000"/>
          <w:sz w:val="19"/>
          <w:szCs w:val="19"/>
          <w:lang w:eastAsia="ru-RU"/>
        </w:rPr>
        <w:t>автоматические</w:t>
      </w:r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</w:t>
      </w:r>
      <w:r w:rsidRPr="000F679E">
        <w:rPr>
          <w:rFonts w:ascii="Verdana" w:eastAsia="Times New Roman" w:hAnsi="Verdana" w:cs="Verdana"/>
          <w:color w:val="000000"/>
          <w:sz w:val="19"/>
          <w:szCs w:val="19"/>
          <w:lang w:eastAsia="ru-RU"/>
        </w:rPr>
        <w:t>отметки</w:t>
      </w:r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</w:t>
      </w:r>
      <w:r w:rsidRPr="000F679E">
        <w:rPr>
          <w:rFonts w:ascii="Verdana" w:eastAsia="Times New Roman" w:hAnsi="Verdana" w:cs="Verdana"/>
          <w:color w:val="000000"/>
          <w:sz w:val="19"/>
          <w:szCs w:val="19"/>
          <w:lang w:eastAsia="ru-RU"/>
        </w:rPr>
        <w:t>о</w:t>
      </w:r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</w:t>
      </w:r>
      <w:r w:rsidRPr="000F679E">
        <w:rPr>
          <w:rFonts w:ascii="Verdana" w:eastAsia="Times New Roman" w:hAnsi="Verdana" w:cs="Verdana"/>
          <w:color w:val="000000"/>
          <w:sz w:val="19"/>
          <w:szCs w:val="19"/>
          <w:lang w:eastAsia="ru-RU"/>
        </w:rPr>
        <w:t>согласии</w:t>
      </w:r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;</w:t>
      </w:r>
    </w:p>
    <w:p w:rsidR="000F679E" w:rsidRPr="000F679E" w:rsidRDefault="000F679E" w:rsidP="000F679E">
      <w:pPr>
        <w:shd w:val="clear" w:color="auto" w:fill="FFFFFF"/>
        <w:spacing w:after="0" w:line="336" w:lineRule="atLeast"/>
        <w:ind w:firstLine="300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0F679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►</w:t>
      </w:r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</w:t>
      </w:r>
      <w:r w:rsidRPr="000F679E">
        <w:rPr>
          <w:rFonts w:ascii="Verdana" w:eastAsia="Times New Roman" w:hAnsi="Verdana" w:cs="Verdana"/>
          <w:color w:val="000000"/>
          <w:sz w:val="19"/>
          <w:szCs w:val="19"/>
          <w:lang w:eastAsia="ru-RU"/>
        </w:rPr>
        <w:t>выражать</w:t>
      </w:r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</w:t>
      </w:r>
      <w:r w:rsidRPr="000F679E">
        <w:rPr>
          <w:rFonts w:ascii="Verdana" w:eastAsia="Times New Roman" w:hAnsi="Verdana" w:cs="Verdana"/>
          <w:color w:val="000000"/>
          <w:sz w:val="19"/>
          <w:szCs w:val="19"/>
          <w:lang w:eastAsia="ru-RU"/>
        </w:rPr>
        <w:t>за</w:t>
      </w:r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</w:t>
      </w:r>
      <w:r w:rsidRPr="000F679E">
        <w:rPr>
          <w:rFonts w:ascii="Verdana" w:eastAsia="Times New Roman" w:hAnsi="Verdana" w:cs="Verdana"/>
          <w:color w:val="000000"/>
          <w:sz w:val="19"/>
          <w:szCs w:val="19"/>
          <w:lang w:eastAsia="ru-RU"/>
        </w:rPr>
        <w:t>потребителя</w:t>
      </w:r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</w:t>
      </w:r>
      <w:r w:rsidRPr="000F679E">
        <w:rPr>
          <w:rFonts w:ascii="Verdana" w:eastAsia="Times New Roman" w:hAnsi="Verdana" w:cs="Verdana"/>
          <w:color w:val="000000"/>
          <w:sz w:val="19"/>
          <w:szCs w:val="19"/>
          <w:lang w:eastAsia="ru-RU"/>
        </w:rPr>
        <w:t>согласие</w:t>
      </w:r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</w:t>
      </w:r>
      <w:r w:rsidRPr="000F679E">
        <w:rPr>
          <w:rFonts w:ascii="Verdana" w:eastAsia="Times New Roman" w:hAnsi="Verdana" w:cs="Verdana"/>
          <w:color w:val="000000"/>
          <w:sz w:val="19"/>
          <w:szCs w:val="19"/>
          <w:lang w:eastAsia="ru-RU"/>
        </w:rPr>
        <w:t>в</w:t>
      </w:r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</w:t>
      </w:r>
      <w:r w:rsidRPr="000F679E">
        <w:rPr>
          <w:rFonts w:ascii="Verdana" w:eastAsia="Times New Roman" w:hAnsi="Verdana" w:cs="Verdana"/>
          <w:color w:val="000000"/>
          <w:sz w:val="19"/>
          <w:szCs w:val="19"/>
          <w:lang w:eastAsia="ru-RU"/>
        </w:rPr>
        <w:t>другом</w:t>
      </w:r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</w:t>
      </w:r>
      <w:r w:rsidRPr="000F679E">
        <w:rPr>
          <w:rFonts w:ascii="Verdana" w:eastAsia="Times New Roman" w:hAnsi="Verdana" w:cs="Verdana"/>
          <w:color w:val="000000"/>
          <w:sz w:val="19"/>
          <w:szCs w:val="19"/>
          <w:lang w:eastAsia="ru-RU"/>
        </w:rPr>
        <w:t>виде</w:t>
      </w:r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;</w:t>
      </w:r>
      <w:r w:rsidRPr="000F679E">
        <w:rPr>
          <w:rFonts w:ascii="Verdana" w:eastAsia="Times New Roman" w:hAnsi="Verdana" w:cs="Verdana"/>
          <w:color w:val="000000"/>
          <w:sz w:val="19"/>
          <w:szCs w:val="19"/>
          <w:lang w:eastAsia="ru-RU"/>
        </w:rPr>
        <w:t> </w:t>
      </w:r>
    </w:p>
    <w:p w:rsidR="000F679E" w:rsidRPr="000F679E" w:rsidRDefault="000F679E" w:rsidP="000F679E">
      <w:pPr>
        <w:shd w:val="clear" w:color="auto" w:fill="FFFFFF"/>
        <w:spacing w:after="0" w:line="336" w:lineRule="atLeast"/>
        <w:ind w:firstLine="300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0F679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►</w:t>
      </w:r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</w:t>
      </w:r>
      <w:r w:rsidRPr="000F679E">
        <w:rPr>
          <w:rFonts w:ascii="Verdana" w:eastAsia="Times New Roman" w:hAnsi="Verdana" w:cs="Verdana"/>
          <w:color w:val="000000"/>
          <w:sz w:val="19"/>
          <w:szCs w:val="19"/>
          <w:lang w:eastAsia="ru-RU"/>
        </w:rPr>
        <w:t>создавать</w:t>
      </w:r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</w:t>
      </w:r>
      <w:r w:rsidRPr="000F679E">
        <w:rPr>
          <w:rFonts w:ascii="Verdana" w:eastAsia="Times New Roman" w:hAnsi="Verdana" w:cs="Verdana"/>
          <w:color w:val="000000"/>
          <w:sz w:val="19"/>
          <w:szCs w:val="19"/>
          <w:lang w:eastAsia="ru-RU"/>
        </w:rPr>
        <w:t>условия</w:t>
      </w:r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, </w:t>
      </w:r>
      <w:r w:rsidRPr="000F679E">
        <w:rPr>
          <w:rFonts w:ascii="Verdana" w:eastAsia="Times New Roman" w:hAnsi="Verdana" w:cs="Verdana"/>
          <w:color w:val="000000"/>
          <w:sz w:val="19"/>
          <w:szCs w:val="19"/>
          <w:lang w:eastAsia="ru-RU"/>
        </w:rPr>
        <w:t>которые</w:t>
      </w:r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</w:t>
      </w:r>
      <w:r w:rsidRPr="000F679E">
        <w:rPr>
          <w:rFonts w:ascii="Verdana" w:eastAsia="Times New Roman" w:hAnsi="Verdana" w:cs="Verdana"/>
          <w:color w:val="000000"/>
          <w:sz w:val="19"/>
          <w:szCs w:val="19"/>
          <w:lang w:eastAsia="ru-RU"/>
        </w:rPr>
        <w:t>предполагают</w:t>
      </w:r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</w:t>
      </w:r>
      <w:r w:rsidRPr="000F679E">
        <w:rPr>
          <w:rFonts w:ascii="Verdana" w:eastAsia="Times New Roman" w:hAnsi="Verdana" w:cs="Verdana"/>
          <w:color w:val="000000"/>
          <w:sz w:val="19"/>
          <w:szCs w:val="19"/>
          <w:lang w:eastAsia="ru-RU"/>
        </w:rPr>
        <w:t>изначальное</w:t>
      </w:r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</w:t>
      </w:r>
      <w:r w:rsidRPr="000F679E">
        <w:rPr>
          <w:rFonts w:ascii="Verdana" w:eastAsia="Times New Roman" w:hAnsi="Verdana" w:cs="Verdana"/>
          <w:color w:val="000000"/>
          <w:sz w:val="19"/>
          <w:szCs w:val="19"/>
          <w:lang w:eastAsia="ru-RU"/>
        </w:rPr>
        <w:t>согласие</w:t>
      </w:r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</w:t>
      </w:r>
      <w:r w:rsidRPr="000F679E">
        <w:rPr>
          <w:rFonts w:ascii="Verdana" w:eastAsia="Times New Roman" w:hAnsi="Verdana" w:cs="Verdana"/>
          <w:color w:val="000000"/>
          <w:sz w:val="19"/>
          <w:szCs w:val="19"/>
          <w:lang w:eastAsia="ru-RU"/>
        </w:rPr>
        <w:t>на</w:t>
      </w:r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</w:t>
      </w:r>
      <w:r w:rsidRPr="000F679E">
        <w:rPr>
          <w:rFonts w:ascii="Verdana" w:eastAsia="Times New Roman" w:hAnsi="Verdana" w:cs="Verdana"/>
          <w:color w:val="000000"/>
          <w:sz w:val="19"/>
          <w:szCs w:val="19"/>
          <w:lang w:eastAsia="ru-RU"/>
        </w:rPr>
        <w:t>покупку</w:t>
      </w:r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</w:t>
      </w:r>
      <w:r w:rsidRPr="000F679E">
        <w:rPr>
          <w:rFonts w:ascii="Verdana" w:eastAsia="Times New Roman" w:hAnsi="Verdana" w:cs="Verdana"/>
          <w:color w:val="000000"/>
          <w:sz w:val="19"/>
          <w:szCs w:val="19"/>
          <w:lang w:eastAsia="ru-RU"/>
        </w:rPr>
        <w:t>дополнительных</w:t>
      </w:r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</w:t>
      </w:r>
      <w:r w:rsidRPr="000F679E">
        <w:rPr>
          <w:rFonts w:ascii="Verdana" w:eastAsia="Times New Roman" w:hAnsi="Verdana" w:cs="Verdana"/>
          <w:color w:val="000000"/>
          <w:sz w:val="19"/>
          <w:szCs w:val="19"/>
          <w:lang w:eastAsia="ru-RU"/>
        </w:rPr>
        <w:t>товаров</w:t>
      </w:r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, работ и услуг.</w:t>
      </w:r>
    </w:p>
    <w:p w:rsidR="000F679E" w:rsidRPr="000F679E" w:rsidRDefault="000F679E" w:rsidP="000F679E">
      <w:pPr>
        <w:shd w:val="clear" w:color="auto" w:fill="FFFFFF"/>
        <w:spacing w:after="0" w:line="336" w:lineRule="atLeast"/>
        <w:ind w:firstLine="300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Если согласия на покупку дополнительного продукта не было или его навязали, продавец должен вернуть деньги в течение 3 календарных дней с момента предъявления требования.</w:t>
      </w:r>
    </w:p>
    <w:p w:rsidR="000F679E" w:rsidRPr="000F679E" w:rsidRDefault="000F679E" w:rsidP="000F679E">
      <w:pPr>
        <w:shd w:val="clear" w:color="auto" w:fill="FFFFFF"/>
        <w:spacing w:after="0" w:line="336" w:lineRule="atLeast"/>
        <w:ind w:firstLine="300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Доказать то, что согласие есть, должен продавец (владелец </w:t>
      </w:r>
      <w:proofErr w:type="spellStart"/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агрегатора</w:t>
      </w:r>
      <w:proofErr w:type="spellEnd"/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, исполнитель).</w:t>
      </w:r>
    </w:p>
    <w:p w:rsidR="000F679E" w:rsidRPr="000F679E" w:rsidRDefault="000F679E" w:rsidP="000F67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</w:p>
    <w:p w:rsidR="000F679E" w:rsidRPr="000F679E" w:rsidRDefault="000F679E" w:rsidP="000F679E">
      <w:pPr>
        <w:shd w:val="clear" w:color="auto" w:fill="FFFFFF"/>
        <w:spacing w:after="0" w:line="336" w:lineRule="atLeast"/>
        <w:ind w:firstLine="300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0F679E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ru-RU"/>
        </w:rPr>
        <w:t>Федеральным законом РФ № 194-ФЗ от 07.07.2025</w:t>
      </w:r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статья 4 Закона «О защите прав потребителей» дополнена пунктом:</w:t>
      </w:r>
    </w:p>
    <w:p w:rsidR="000F679E" w:rsidRPr="000F679E" w:rsidRDefault="000F679E" w:rsidP="000F679E">
      <w:pPr>
        <w:shd w:val="clear" w:color="auto" w:fill="FFFFFF"/>
        <w:spacing w:after="0" w:line="336" w:lineRule="atLeast"/>
        <w:ind w:firstLine="300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При продаже и использовании отдельных видов технически сложных товаров c предварительно установленными программами для электронных вычислительных машин, включая единый магазин приложений, обеспечивается отсутствие следующих условий:</w:t>
      </w:r>
    </w:p>
    <w:p w:rsidR="000F679E" w:rsidRPr="000F679E" w:rsidRDefault="000F679E" w:rsidP="000F679E">
      <w:pPr>
        <w:shd w:val="clear" w:color="auto" w:fill="FFFFFF"/>
        <w:spacing w:after="0" w:line="336" w:lineRule="atLeast"/>
        <w:ind w:firstLine="300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1) приводящих к ограничению возможности приобретения (установки) программ для электронных вычислительных машин с использованием единого магазина приложений;</w:t>
      </w:r>
    </w:p>
    <w:p w:rsidR="000F679E" w:rsidRPr="000F679E" w:rsidRDefault="000F679E" w:rsidP="000F679E">
      <w:pPr>
        <w:shd w:val="clear" w:color="auto" w:fill="FFFFFF"/>
        <w:spacing w:after="0" w:line="336" w:lineRule="atLeast"/>
        <w:ind w:firstLine="300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2) приводящих к ограничению или невозможности использования функциональных возможностей предварительно установленных в соответствии с положениями настоящей статьи программ для электронных вычислительных машин, включая единый магазин приложений, а также программ для электронных вычислительных машин, приобретенных (установленных) с использованием единого магазина приложений (в том числе условий, ограничивающих поиск, обновление программ для электронных вычислительных машин, управление их настройками, обеспечение взаимодействия с потребителями, направление им уведомлений, условий, предусматривающих применение особых требований к формированию цен на услуги, оказываемые в рамках единого магазина приложений или при использовании программ для электронных вычислительных машин, приобретенных (установленных) с использованием единого магазина приложений, либо приводящих к ограничению функциональных возможностей технически сложного товара при использовании программы для электронных вычислительных машин);</w:t>
      </w:r>
    </w:p>
    <w:p w:rsidR="000F679E" w:rsidRPr="000F679E" w:rsidRDefault="000F679E" w:rsidP="000F679E">
      <w:pPr>
        <w:shd w:val="clear" w:color="auto" w:fill="FFFFFF"/>
        <w:spacing w:after="0" w:line="336" w:lineRule="atLeast"/>
        <w:ind w:firstLine="300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3) приводящих к ограничению способов оплаты с использованием единого магазина приложений при приобретении (установке) и использовании программ для электронных вычислительных машин.</w:t>
      </w:r>
    </w:p>
    <w:p w:rsidR="000F679E" w:rsidRPr="000F679E" w:rsidRDefault="000F679E" w:rsidP="000F67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</w:p>
    <w:p w:rsidR="000F679E" w:rsidRPr="000F679E" w:rsidRDefault="000F679E" w:rsidP="000F679E">
      <w:pPr>
        <w:shd w:val="clear" w:color="auto" w:fill="FFFFFF"/>
        <w:spacing w:after="0" w:line="336" w:lineRule="atLeast"/>
        <w:ind w:firstLine="300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Кроме того, введены новые требования в сфере маркировки алкоголя, кормов для животных, </w:t>
      </w:r>
      <w:proofErr w:type="spellStart"/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медизделий</w:t>
      </w:r>
      <w:proofErr w:type="spellEnd"/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, </w:t>
      </w:r>
      <w:proofErr w:type="spellStart"/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техсредств</w:t>
      </w:r>
      <w:proofErr w:type="spellEnd"/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реабилитации, дезинфицирующих средств.</w:t>
      </w:r>
    </w:p>
    <w:p w:rsidR="000F679E" w:rsidRPr="000F679E" w:rsidRDefault="000F679E" w:rsidP="000F679E">
      <w:pPr>
        <w:shd w:val="clear" w:color="auto" w:fill="FFFFFF"/>
        <w:spacing w:after="0" w:line="336" w:lineRule="atLeast"/>
        <w:ind w:firstLine="300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0F679E">
        <w:rPr>
          <w:rFonts w:ascii="Verdana" w:eastAsia="Times New Roman" w:hAnsi="Verdana" w:cs="Times New Roman"/>
          <w:color w:val="000000"/>
          <w:sz w:val="19"/>
          <w:szCs w:val="19"/>
          <w:u w:val="single"/>
          <w:lang w:eastAsia="ru-RU"/>
        </w:rPr>
        <w:t>Пиво и слабоалкогольные напитки</w:t>
      </w:r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. Участники оборота обязаны передавать в "Честный знак" информацию о выбытии продукции в потребительской упаковке по причинам, не связанным с розничной продажей. Требование касается продукции, произведенной или ввезенной с 1 сентября 2025 года.</w:t>
      </w:r>
    </w:p>
    <w:p w:rsidR="000F679E" w:rsidRPr="000F679E" w:rsidRDefault="000F679E" w:rsidP="000F679E">
      <w:pPr>
        <w:shd w:val="clear" w:color="auto" w:fill="FFFFFF"/>
        <w:spacing w:after="0" w:line="336" w:lineRule="atLeast"/>
        <w:ind w:firstLine="300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0F679E">
        <w:rPr>
          <w:rFonts w:ascii="Verdana" w:eastAsia="Times New Roman" w:hAnsi="Verdana" w:cs="Times New Roman"/>
          <w:color w:val="000000"/>
          <w:sz w:val="19"/>
          <w:szCs w:val="19"/>
          <w:u w:val="single"/>
          <w:lang w:eastAsia="ru-RU"/>
        </w:rPr>
        <w:t>Корма для животных</w:t>
      </w:r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. В систему "Честный знак" нужно передавать данные о выводе из оборота (в </w:t>
      </w:r>
      <w:proofErr w:type="spellStart"/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т.ч</w:t>
      </w:r>
      <w:proofErr w:type="spellEnd"/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. розничной продаже) маркированных товаров и их обороте.</w:t>
      </w:r>
    </w:p>
    <w:p w:rsidR="000F679E" w:rsidRPr="000F679E" w:rsidRDefault="000F679E" w:rsidP="000F679E">
      <w:pPr>
        <w:shd w:val="clear" w:color="auto" w:fill="FFFFFF"/>
        <w:spacing w:after="0" w:line="336" w:lineRule="atLeast"/>
        <w:ind w:firstLine="300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proofErr w:type="spellStart"/>
      <w:r w:rsidRPr="000F679E">
        <w:rPr>
          <w:rFonts w:ascii="Verdana" w:eastAsia="Times New Roman" w:hAnsi="Verdana" w:cs="Times New Roman"/>
          <w:color w:val="000000"/>
          <w:sz w:val="19"/>
          <w:szCs w:val="19"/>
          <w:u w:val="single"/>
          <w:lang w:eastAsia="ru-RU"/>
        </w:rPr>
        <w:t>Медизделия</w:t>
      </w:r>
      <w:proofErr w:type="spellEnd"/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. Участники оборота должны направлять в "Честный знак" сведения об обороте товаров.</w:t>
      </w:r>
    </w:p>
    <w:p w:rsidR="000F679E" w:rsidRPr="000F679E" w:rsidRDefault="000F679E" w:rsidP="000F679E">
      <w:pPr>
        <w:shd w:val="clear" w:color="auto" w:fill="FFFFFF"/>
        <w:spacing w:after="0" w:line="336" w:lineRule="atLeast"/>
        <w:ind w:firstLine="300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proofErr w:type="spellStart"/>
      <w:r w:rsidRPr="000F679E">
        <w:rPr>
          <w:rFonts w:ascii="Verdana" w:eastAsia="Times New Roman" w:hAnsi="Verdana" w:cs="Times New Roman"/>
          <w:color w:val="000000"/>
          <w:sz w:val="19"/>
          <w:szCs w:val="19"/>
          <w:u w:val="single"/>
          <w:lang w:eastAsia="ru-RU"/>
        </w:rPr>
        <w:t>Техсредства</w:t>
      </w:r>
      <w:proofErr w:type="spellEnd"/>
      <w:r w:rsidRPr="000F679E">
        <w:rPr>
          <w:rFonts w:ascii="Verdana" w:eastAsia="Times New Roman" w:hAnsi="Verdana" w:cs="Times New Roman"/>
          <w:color w:val="000000"/>
          <w:sz w:val="19"/>
          <w:szCs w:val="19"/>
          <w:u w:val="single"/>
          <w:lang w:eastAsia="ru-RU"/>
        </w:rPr>
        <w:t xml:space="preserve"> реабилитации</w:t>
      </w:r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. В "Честный знак" нужно передавать сведения об обороте товаров. Запрещены оборот и продажа немаркированных остатков.</w:t>
      </w:r>
    </w:p>
    <w:p w:rsidR="000F679E" w:rsidRPr="000F679E" w:rsidRDefault="000F679E" w:rsidP="000F679E">
      <w:pPr>
        <w:shd w:val="clear" w:color="auto" w:fill="FFFFFF"/>
        <w:spacing w:after="0" w:line="336" w:lineRule="atLeast"/>
        <w:ind w:firstLine="300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0F679E">
        <w:rPr>
          <w:rFonts w:ascii="Verdana" w:eastAsia="Times New Roman" w:hAnsi="Verdana" w:cs="Times New Roman"/>
          <w:color w:val="000000"/>
          <w:sz w:val="19"/>
          <w:szCs w:val="19"/>
          <w:u w:val="single"/>
          <w:lang w:eastAsia="ru-RU"/>
        </w:rPr>
        <w:t>Средства для дезинфекции помещений, оборудования, инструментов, одежды и белья</w:t>
      </w:r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. В систему "Честный знак" нужно направлять сведения об обороте и выводе из оборота таких товаров (в частности, о розничной продаже).</w:t>
      </w:r>
    </w:p>
    <w:p w:rsidR="000F679E" w:rsidRPr="000F679E" w:rsidRDefault="000F679E" w:rsidP="000F679E">
      <w:pPr>
        <w:shd w:val="clear" w:color="auto" w:fill="FFFFFF"/>
        <w:spacing w:after="0" w:line="336" w:lineRule="atLeast"/>
        <w:ind w:firstLine="300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Дополнительно, с 1 сентября 2025 года не допускается продажа немаркированных остатков средств для дезинфекции.</w:t>
      </w:r>
    </w:p>
    <w:p w:rsidR="000F679E" w:rsidRPr="000F679E" w:rsidRDefault="000F679E" w:rsidP="000F67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</w:p>
    <w:p w:rsidR="000F679E" w:rsidRPr="000F679E" w:rsidRDefault="000F679E" w:rsidP="000F679E">
      <w:pPr>
        <w:shd w:val="clear" w:color="auto" w:fill="FFFFFF"/>
        <w:spacing w:after="0" w:line="336" w:lineRule="atLeast"/>
        <w:ind w:firstLine="300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Запрещается продажа отдельных видов табачной и </w:t>
      </w:r>
      <w:proofErr w:type="spellStart"/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никотинсодержащей</w:t>
      </w:r>
      <w:proofErr w:type="spellEnd"/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продукции. </w:t>
      </w:r>
      <w:r w:rsidRPr="000F679E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ru-RU"/>
        </w:rPr>
        <w:t>Запрещен оборот:</w:t>
      </w:r>
    </w:p>
    <w:p w:rsidR="000F679E" w:rsidRPr="000F679E" w:rsidRDefault="000F679E" w:rsidP="000F679E">
      <w:pPr>
        <w:shd w:val="clear" w:color="auto" w:fill="FFFFFF"/>
        <w:spacing w:after="0" w:line="336" w:lineRule="atLeast"/>
        <w:ind w:firstLine="300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— табачной продукции, которая находилась в обороте без нанесенных средств идентификации по состоянию на 30 июня 2020 года и была маркирована средствами идентификации до 1 декабря 2020 года;</w:t>
      </w:r>
    </w:p>
    <w:p w:rsidR="000F679E" w:rsidRPr="000F679E" w:rsidRDefault="000F679E" w:rsidP="000F679E">
      <w:pPr>
        <w:shd w:val="clear" w:color="auto" w:fill="FFFFFF"/>
        <w:spacing w:after="0" w:line="336" w:lineRule="atLeast"/>
        <w:ind w:firstLine="300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— </w:t>
      </w:r>
      <w:proofErr w:type="spellStart"/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никотинсодержащей</w:t>
      </w:r>
      <w:proofErr w:type="spellEnd"/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продукции, которая находилась в обороте без нанесенных средств идентификации по состоянию на 1 марта 2022 года и была маркирована средствами идентификации до 1 октября 2023 года.</w:t>
      </w:r>
    </w:p>
    <w:p w:rsidR="000F679E" w:rsidRPr="000F679E" w:rsidRDefault="000F679E" w:rsidP="000F67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</w:p>
    <w:p w:rsidR="000F679E" w:rsidRPr="000F679E" w:rsidRDefault="000F679E" w:rsidP="000F679E">
      <w:pPr>
        <w:shd w:val="clear" w:color="auto" w:fill="FFFFFF"/>
        <w:spacing w:after="0" w:line="336" w:lineRule="atLeast"/>
        <w:ind w:firstLine="300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0F679E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ru-RU"/>
        </w:rPr>
        <w:t>Уточнены правила</w:t>
      </w:r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 оборота маркированной </w:t>
      </w:r>
      <w:proofErr w:type="spellStart"/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никотинсодержащей</w:t>
      </w:r>
      <w:proofErr w:type="spellEnd"/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продукции.</w:t>
      </w:r>
    </w:p>
    <w:p w:rsidR="000F679E" w:rsidRPr="000F679E" w:rsidRDefault="000F679E" w:rsidP="000F679E">
      <w:pPr>
        <w:shd w:val="clear" w:color="auto" w:fill="FFFFFF"/>
        <w:spacing w:after="0" w:line="336" w:lineRule="atLeast"/>
        <w:ind w:firstLine="300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Оператор системы "Честный знак" откажет в приеме сведений или документов, если цена </w:t>
      </w:r>
      <w:proofErr w:type="spellStart"/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никотинсодержащей</w:t>
      </w:r>
      <w:proofErr w:type="spellEnd"/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продукции окажется ниже минимальной цены, определенной государством, или в системе отсутствуют данные для определения минимальной цены.</w:t>
      </w:r>
    </w:p>
    <w:p w:rsidR="000F679E" w:rsidRPr="000F679E" w:rsidRDefault="000F679E" w:rsidP="000F679E">
      <w:pPr>
        <w:shd w:val="clear" w:color="auto" w:fill="FFFFFF"/>
        <w:spacing w:after="0" w:line="336" w:lineRule="atLeast"/>
        <w:ind w:firstLine="300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До 1 октября 2025 года участники оборота должны передать в систему "Честный знак" информацию о </w:t>
      </w:r>
      <w:proofErr w:type="spellStart"/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никотинсодержащих</w:t>
      </w:r>
      <w:proofErr w:type="spellEnd"/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жидкостях, если такие сведения не были предоставлены при регистрации продукции.</w:t>
      </w:r>
    </w:p>
    <w:p w:rsidR="000F679E" w:rsidRPr="000F679E" w:rsidRDefault="000F679E" w:rsidP="000F67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</w:p>
    <w:p w:rsidR="000F679E" w:rsidRPr="000F679E" w:rsidRDefault="000F679E" w:rsidP="000F679E">
      <w:pPr>
        <w:shd w:val="clear" w:color="auto" w:fill="FFFFFF"/>
        <w:spacing w:after="0" w:line="336" w:lineRule="atLeast"/>
        <w:ind w:firstLine="300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Также, </w:t>
      </w:r>
      <w:r w:rsidRPr="000F679E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ru-RU"/>
        </w:rPr>
        <w:t>стартовало внедрение цифровой маркировки</w:t>
      </w:r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спортивного питания, строительных материалов в потребительской упаковке, игр и игрушек для детей до 14 лет, сладостей и кондитерских изделий в потребительской упаковке.</w:t>
      </w:r>
    </w:p>
    <w:p w:rsidR="000F679E" w:rsidRPr="000F679E" w:rsidRDefault="000F679E" w:rsidP="000F67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</w:p>
    <w:p w:rsidR="000F679E" w:rsidRPr="000F679E" w:rsidRDefault="000F679E" w:rsidP="000F679E">
      <w:pPr>
        <w:shd w:val="clear" w:color="auto" w:fill="FFFFFF"/>
        <w:spacing w:after="0" w:line="336" w:lineRule="atLeast"/>
        <w:ind w:firstLine="300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0F679E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ru-RU"/>
        </w:rPr>
        <w:t>!! Обращаем внимание предпринимателей</w:t>
      </w:r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, что системе "Честный знак" ужесточается контроль за наличием и актуальностью разрешительных документов на отдельные виды товаров. Требование затрагивает участников оборота: обувных товаров; духов и туалетной воды; шин; упакованной воды.</w:t>
      </w:r>
    </w:p>
    <w:p w:rsidR="000F679E" w:rsidRPr="000F679E" w:rsidRDefault="000F679E" w:rsidP="000F679E">
      <w:pPr>
        <w:shd w:val="clear" w:color="auto" w:fill="FFFFFF"/>
        <w:spacing w:after="0" w:line="336" w:lineRule="atLeast"/>
        <w:ind w:firstLine="300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0F679E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В частности, в регистрации товара в системе "Честный знак" откажут, если указанных в заявлении разрешительных документов нет в реестре, они (по данным реестра) аннулированы или признаны недействительными, информация о товаре не соответствует информации в разрешительном документе.</w:t>
      </w:r>
    </w:p>
    <w:p w:rsidR="000F679E" w:rsidRPr="00BE3565" w:rsidRDefault="000F679E" w:rsidP="000F6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907" w:rsidRPr="00BE3565" w:rsidRDefault="006E1907" w:rsidP="00BE3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E1907" w:rsidRPr="00BE3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4C5"/>
    <w:rsid w:val="000F679E"/>
    <w:rsid w:val="001D267F"/>
    <w:rsid w:val="006E1907"/>
    <w:rsid w:val="007054C5"/>
    <w:rsid w:val="00BB2474"/>
    <w:rsid w:val="00BE3565"/>
    <w:rsid w:val="00F9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D5E503-AB80-4889-A16C-04959E89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881,bqiaagaaeyqcaaagiaiaaaoobaaabbyeaaaaaaaaaaaaaaaaaaaaaaaaaaaaaaaaaaaaaaaaaaaaaaaaaaaaaaaaaaaaaaaaaaaaaaaaaaaaaaaaaaaaaaaaaaaaaaaaaaaaaaaaaaaaaaaaaaaaaaaaaaaaaaaaaaaaaaaaaaaaaaaaaaaaaaaaaaaaaaaaaaaaaaaaaaaaaaaaaaaaaaaaaaaaaaaaaaaaaaaa"/>
    <w:basedOn w:val="a"/>
    <w:rsid w:val="001D2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D2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843</Words>
  <Characters>4807</Characters>
  <Application>Microsoft Office Word</Application>
  <DocSecurity>0</DocSecurity>
  <Lines>40</Lines>
  <Paragraphs>11</Paragraphs>
  <ScaleCrop>false</ScaleCrop>
  <Company/>
  <LinksUpToDate>false</LinksUpToDate>
  <CharactersWithSpaces>5639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Хлыстун А.В.</dc:creator>
  <cp:keywords/>
  <dc:description/>
  <cp:lastModifiedBy>Потребсф Специалист2</cp:lastModifiedBy>
  <cp:revision>6</cp:revision>
  <dcterms:created xsi:type="dcterms:W3CDTF">2025-01-27T11:03:00Z</dcterms:created>
  <dcterms:modified xsi:type="dcterms:W3CDTF">2025-09-05T07:04:00Z</dcterms:modified>
</cp:coreProperties>
</file>