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 xml:space="preserve">   </w:t>
      </w:r>
      <w:r>
        <w:drawing>
          <wp:inline>
            <wp:extent cx="732155" cy="91300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32155" cy="91300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sz w:val="16"/>
        </w:rPr>
      </w:pPr>
    </w:p>
    <w:p w14:paraId="03000000">
      <w:pPr>
        <w:pStyle w:val="Style_1"/>
      </w:pPr>
      <w:r>
        <w:t xml:space="preserve">АДМИНИСТРАЦИЯ МУНИЦИПАЛЬНОГО  ОБРАЗОВАНИЯ </w:t>
      </w:r>
    </w:p>
    <w:p w14:paraId="04000000">
      <w:pPr>
        <w:pStyle w:val="Style_1"/>
      </w:pPr>
      <w:r>
        <w:t xml:space="preserve"> ВЫСЕЛКОВСКИЙ  РАЙОН</w:t>
      </w:r>
    </w:p>
    <w:p w14:paraId="05000000"/>
    <w:p w14:paraId="06000000">
      <w:pPr>
        <w:pStyle w:val="Style_2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</w:rPr>
        <w:t>ПОСТАНОВЛЕНИЕ</w:t>
      </w:r>
    </w:p>
    <w:p w14:paraId="07000000">
      <w:pPr>
        <w:tabs>
          <w:tab w:leader="none" w:pos="1134" w:val="left"/>
        </w:tabs>
        <w:ind/>
        <w:jc w:val="center"/>
        <w:rPr>
          <w:sz w:val="26"/>
        </w:rPr>
      </w:pPr>
    </w:p>
    <w:p w14:paraId="08000000">
      <w:pPr>
        <w:ind/>
        <w:jc w:val="center"/>
        <w:rPr>
          <w:sz w:val="26"/>
        </w:rPr>
      </w:pPr>
      <w:r>
        <w:rPr>
          <w:b w:val="1"/>
          <w:sz w:val="26"/>
        </w:rPr>
        <w:t>от 26.12.2023</w:t>
      </w:r>
      <w:r>
        <w:rPr>
          <w:sz w:val="26"/>
        </w:rPr>
        <w:t xml:space="preserve">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</w:t>
      </w:r>
      <w:r>
        <w:rPr>
          <w:b w:val="1"/>
          <w:sz w:val="26"/>
        </w:rPr>
        <w:t>№   2122</w:t>
      </w:r>
    </w:p>
    <w:p w14:paraId="09000000">
      <w:pPr>
        <w:ind/>
        <w:jc w:val="center"/>
        <w:rPr>
          <w:sz w:val="26"/>
        </w:rPr>
      </w:pPr>
    </w:p>
    <w:p w14:paraId="0A000000">
      <w:pPr>
        <w:ind/>
        <w:jc w:val="center"/>
        <w:rPr>
          <w:sz w:val="16"/>
        </w:rPr>
      </w:pPr>
    </w:p>
    <w:p w14:paraId="0B000000">
      <w:pPr>
        <w:ind/>
        <w:jc w:val="center"/>
      </w:pPr>
      <w:r>
        <w:t>ст-ца</w:t>
      </w:r>
      <w:r>
        <w:t xml:space="preserve"> Выселки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color w:val="FFFFFF"/>
        </w:rPr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 одобрении основных показателей </w:t>
      </w:r>
      <w:r>
        <w:rPr>
          <w:b w:val="1"/>
          <w:sz w:val="28"/>
        </w:rPr>
        <w:t>уточненного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прогноза социально-экономического развития 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образования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Выселковский</w:t>
      </w:r>
      <w:r>
        <w:rPr>
          <w:b w:val="1"/>
          <w:sz w:val="28"/>
        </w:rPr>
        <w:t xml:space="preserve"> район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на 2024 год и на период до 2026 года</w:t>
      </w:r>
    </w:p>
    <w:p w14:paraId="13000000">
      <w:pPr>
        <w:ind/>
        <w:jc w:val="center"/>
        <w:rPr>
          <w:b w:val="1"/>
          <w:sz w:val="28"/>
        </w:rPr>
      </w:pP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spacing w:line="228" w:lineRule="auto"/>
        <w:ind w:hanging="540" w:left="7740" w:right="-208"/>
        <w:outlineLvl w:val="0"/>
        <w:rPr>
          <w:caps w:val="1"/>
          <w:sz w:val="28"/>
        </w:rPr>
      </w:pPr>
    </w:p>
    <w:p w14:paraId="16000000">
      <w:pPr>
        <w:ind w:firstLine="850" w:left="0"/>
        <w:jc w:val="both"/>
        <w:rPr>
          <w:sz w:val="28"/>
        </w:rPr>
      </w:pPr>
      <w:r>
        <w:rPr>
          <w:sz w:val="28"/>
          <w:highlight w:val="white"/>
        </w:rPr>
        <w:t xml:space="preserve">Во исполнение постановления администрации муниципального образования </w:t>
      </w:r>
      <w:r>
        <w:rPr>
          <w:sz w:val="28"/>
          <w:highlight w:val="white"/>
        </w:rPr>
        <w:t>Выселковский</w:t>
      </w:r>
      <w:r>
        <w:rPr>
          <w:sz w:val="28"/>
          <w:highlight w:val="white"/>
        </w:rPr>
        <w:t xml:space="preserve"> район от 15 сентября 2015 года № 890 «О порядке разработки и корректировки, осуществления мониторинга и контроля </w:t>
      </w:r>
      <w:r>
        <w:rPr>
          <w:sz w:val="28"/>
          <w:highlight w:val="white"/>
        </w:rPr>
        <w:t xml:space="preserve">реализации прогнозов социально-экономического развития муниципального образования </w:t>
      </w:r>
      <w:r>
        <w:rPr>
          <w:sz w:val="28"/>
          <w:highlight w:val="white"/>
        </w:rPr>
        <w:t>Выселковский</w:t>
      </w:r>
      <w:r>
        <w:rPr>
          <w:sz w:val="28"/>
          <w:highlight w:val="white"/>
        </w:rPr>
        <w:t xml:space="preserve"> район на долгосрочный и среднесрочный периоды»</w:t>
      </w:r>
      <w:r>
        <w:rPr>
          <w:sz w:val="28"/>
          <w:highlight w:val="white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>п</w:t>
      </w:r>
      <w:r>
        <w:rPr>
          <w:sz w:val="28"/>
        </w:rPr>
        <w:t xml:space="preserve"> о с т а </w:t>
      </w:r>
      <w:r>
        <w:rPr>
          <w:sz w:val="28"/>
        </w:rPr>
        <w:t>н</w:t>
      </w:r>
      <w:r>
        <w:rPr>
          <w:sz w:val="28"/>
        </w:rPr>
        <w:t xml:space="preserve"> о в л я ю:</w:t>
      </w:r>
    </w:p>
    <w:p w14:paraId="17000000">
      <w:pPr>
        <w:ind w:firstLine="850" w:left="0"/>
        <w:jc w:val="both"/>
        <w:rPr>
          <w:sz w:val="28"/>
        </w:rPr>
      </w:pPr>
      <w:r>
        <w:rPr>
          <w:sz w:val="28"/>
        </w:rPr>
        <w:t>1. Одобрить основные показатели уточненного прогноза социально-экономического развити</w:t>
      </w:r>
      <w:r>
        <w:rPr>
          <w:sz w:val="28"/>
        </w:rPr>
        <w:t xml:space="preserve">я муниципального образования </w:t>
      </w:r>
      <w:r>
        <w:rPr>
          <w:sz w:val="28"/>
        </w:rPr>
        <w:t>Выселковский</w:t>
      </w:r>
      <w:r>
        <w:rPr>
          <w:sz w:val="28"/>
        </w:rPr>
        <w:t xml:space="preserve"> район на 2024 год и на период до 2026 года (приложение).</w:t>
      </w:r>
    </w:p>
    <w:p w14:paraId="18000000">
      <w:pPr>
        <w:ind w:firstLine="850" w:left="0"/>
        <w:jc w:val="both"/>
        <w:rPr>
          <w:sz w:val="28"/>
        </w:rPr>
      </w:pPr>
      <w:r>
        <w:rPr>
          <w:sz w:val="28"/>
        </w:rPr>
        <w:t xml:space="preserve">2. Отделу экономического развития, инвестиций и малого бизнеса администрации муниципального образования </w:t>
      </w:r>
      <w:r>
        <w:rPr>
          <w:sz w:val="28"/>
        </w:rPr>
        <w:t>Выселковский</w:t>
      </w:r>
      <w:r>
        <w:rPr>
          <w:sz w:val="28"/>
        </w:rPr>
        <w:t xml:space="preserve"> район (Филь): </w:t>
      </w:r>
    </w:p>
    <w:p w14:paraId="19000000">
      <w:pPr>
        <w:ind w:firstLine="850" w:left="0"/>
        <w:jc w:val="both"/>
        <w:rPr>
          <w:sz w:val="28"/>
        </w:rPr>
      </w:pPr>
      <w:r>
        <w:rPr>
          <w:sz w:val="28"/>
        </w:rPr>
        <w:t>2.1.</w:t>
      </w:r>
      <w:r>
        <w:rPr>
          <w:color w:val="FFFFFF"/>
          <w:sz w:val="28"/>
        </w:rPr>
        <w:t>.</w:t>
      </w:r>
      <w:r>
        <w:rPr>
          <w:sz w:val="28"/>
        </w:rPr>
        <w:t>П</w:t>
      </w:r>
      <w:r>
        <w:rPr>
          <w:sz w:val="28"/>
        </w:rPr>
        <w:t xml:space="preserve">редоставить основные показатели уточненного прогноза социально-экономического развития муниципального образования </w:t>
      </w:r>
      <w:r>
        <w:rPr>
          <w:sz w:val="28"/>
        </w:rPr>
        <w:t>Выселковский</w:t>
      </w:r>
      <w:r>
        <w:rPr>
          <w:sz w:val="28"/>
        </w:rPr>
        <w:t xml:space="preserve"> район на 2024 год и на период до 2026 года в финансовое управление администрации муниципального образования </w:t>
      </w:r>
      <w:r>
        <w:rPr>
          <w:sz w:val="28"/>
        </w:rPr>
        <w:t>Выселковский</w:t>
      </w:r>
      <w:r>
        <w:rPr>
          <w:sz w:val="28"/>
        </w:rPr>
        <w:t xml:space="preserve"> район;</w:t>
      </w:r>
    </w:p>
    <w:p w14:paraId="1A000000">
      <w:pPr>
        <w:ind w:firstLine="85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.2. Направить настоящее постановление в отдел Муниципальный центр управления  администрации муниципального образования </w:t>
      </w:r>
      <w:r>
        <w:rPr>
          <w:sz w:val="28"/>
        </w:rPr>
        <w:t>Выселковский</w:t>
      </w:r>
      <w:r>
        <w:rPr>
          <w:sz w:val="28"/>
        </w:rPr>
        <w:t xml:space="preserve"> район в формате </w:t>
      </w:r>
      <w:r>
        <w:rPr>
          <w:sz w:val="28"/>
        </w:rPr>
        <w:t>Word</w:t>
      </w:r>
      <w:r>
        <w:rPr>
          <w:sz w:val="28"/>
        </w:rPr>
        <w:t xml:space="preserve"> для опубликования на официальном сайте администрации муниципального образования </w:t>
      </w:r>
      <w:r>
        <w:rPr>
          <w:sz w:val="28"/>
        </w:rPr>
        <w:t>Выселковский</w:t>
      </w:r>
      <w:r>
        <w:rPr>
          <w:sz w:val="28"/>
        </w:rPr>
        <w:t xml:space="preserve"> район в се</w:t>
      </w:r>
      <w:r>
        <w:rPr>
          <w:sz w:val="28"/>
        </w:rPr>
        <w:t>ти Интернет.</w:t>
      </w:r>
    </w:p>
    <w:p w14:paraId="1B000000">
      <w:pPr>
        <w:ind w:firstLine="850" w:left="0"/>
        <w:jc w:val="both"/>
        <w:rPr>
          <w:sz w:val="28"/>
        </w:rPr>
      </w:pPr>
      <w:r>
        <w:rPr>
          <w:sz w:val="28"/>
        </w:rPr>
        <w:t>3.</w:t>
      </w:r>
      <w:r>
        <w:rPr>
          <w:color w:val="FFFFFF"/>
          <w:sz w:val="28"/>
        </w:rPr>
        <w:t>.</w:t>
      </w:r>
      <w:r>
        <w:rPr>
          <w:sz w:val="28"/>
        </w:rPr>
        <w:t>Отделу</w:t>
      </w:r>
      <w:r>
        <w:rPr>
          <w:sz w:val="28"/>
        </w:rPr>
        <w:t xml:space="preserve"> Муниципальный центр управления  администрации муниципального образования </w:t>
      </w:r>
      <w:r>
        <w:rPr>
          <w:sz w:val="28"/>
        </w:rPr>
        <w:t>Выселковский</w:t>
      </w:r>
      <w:r>
        <w:rPr>
          <w:sz w:val="28"/>
        </w:rPr>
        <w:t xml:space="preserve"> район (</w:t>
      </w:r>
      <w:r>
        <w:rPr>
          <w:sz w:val="28"/>
        </w:rPr>
        <w:t>Абушаев</w:t>
      </w:r>
      <w:r>
        <w:rPr>
          <w:sz w:val="28"/>
        </w:rPr>
        <w:t xml:space="preserve">) разместить </w:t>
      </w:r>
      <w:r>
        <w:rPr>
          <w:sz w:val="28"/>
        </w:rPr>
        <w:t xml:space="preserve">(опубликовать) данное постановление на официальном сайте администрации муниципального образования </w:t>
      </w:r>
      <w:r>
        <w:rPr>
          <w:sz w:val="28"/>
        </w:rPr>
        <w:t>Выселковский</w:t>
      </w:r>
      <w:r>
        <w:rPr>
          <w:sz w:val="28"/>
        </w:rPr>
        <w:t xml:space="preserve"> район в с</w:t>
      </w:r>
      <w:r>
        <w:rPr>
          <w:sz w:val="28"/>
        </w:rPr>
        <w:t xml:space="preserve">ети Интернет. </w:t>
      </w:r>
    </w:p>
    <w:p w14:paraId="1C000000">
      <w:pPr>
        <w:ind w:firstLine="850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4. </w:t>
      </w:r>
      <w:r>
        <w:rPr>
          <w:sz w:val="28"/>
          <w:highlight w:val="white"/>
        </w:rPr>
        <w:t>Контроль за</w:t>
      </w:r>
      <w:r>
        <w:rPr>
          <w:sz w:val="28"/>
          <w:highlight w:val="white"/>
        </w:rPr>
        <w:t xml:space="preserve"> выполнением  настоящего постановления возложить на первого заместителя главы муниципального образования </w:t>
      </w:r>
      <w:r>
        <w:rPr>
          <w:sz w:val="28"/>
          <w:highlight w:val="white"/>
        </w:rPr>
        <w:t>Выселковский</w:t>
      </w:r>
      <w:r>
        <w:rPr>
          <w:sz w:val="28"/>
          <w:highlight w:val="white"/>
        </w:rPr>
        <w:t xml:space="preserve"> район Т.П.Коробову. </w:t>
      </w:r>
    </w:p>
    <w:p w14:paraId="1D000000">
      <w:pPr>
        <w:ind w:firstLine="850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5. Постановление  вступает в силу со дня его подписания. </w:t>
      </w:r>
    </w:p>
    <w:p w14:paraId="1E000000">
      <w:pPr>
        <w:ind w:firstLine="810" w:left="0"/>
        <w:jc w:val="both"/>
        <w:rPr>
          <w:sz w:val="28"/>
          <w:highlight w:val="white"/>
        </w:rPr>
      </w:pPr>
    </w:p>
    <w:p w14:paraId="1F000000">
      <w:pPr>
        <w:ind w:firstLine="810" w:left="0"/>
        <w:jc w:val="both"/>
        <w:rPr>
          <w:sz w:val="28"/>
          <w:highlight w:val="white"/>
        </w:rPr>
      </w:pPr>
    </w:p>
    <w:p w14:paraId="20000000">
      <w:pPr>
        <w:ind w:firstLine="810" w:left="0"/>
        <w:jc w:val="both"/>
        <w:rPr>
          <w:sz w:val="28"/>
          <w:highlight w:val="white"/>
        </w:rPr>
      </w:pPr>
    </w:p>
    <w:p w14:paraId="21000000">
      <w:pPr>
        <w:ind/>
        <w:jc w:val="both"/>
        <w:rPr>
          <w:sz w:val="28"/>
          <w:highlight w:val="white"/>
        </w:rPr>
      </w:pPr>
      <w:r>
        <w:rPr>
          <w:sz w:val="28"/>
          <w:highlight w:val="white"/>
        </w:rPr>
        <w:t>Глава муниципального образо</w:t>
      </w:r>
      <w:r>
        <w:rPr>
          <w:sz w:val="28"/>
          <w:highlight w:val="white"/>
        </w:rPr>
        <w:t xml:space="preserve">вания  </w:t>
      </w:r>
    </w:p>
    <w:p w14:paraId="22000000">
      <w:pPr>
        <w:rPr>
          <w:sz w:val="28"/>
        </w:rPr>
      </w:pPr>
      <w:r>
        <w:rPr>
          <w:sz w:val="28"/>
          <w:highlight w:val="white"/>
        </w:rPr>
        <w:t>Выселковский</w:t>
      </w:r>
      <w:r>
        <w:rPr>
          <w:sz w:val="28"/>
          <w:highlight w:val="white"/>
        </w:rPr>
        <w:t xml:space="preserve">  район                                                                            </w:t>
      </w:r>
      <w:r>
        <w:rPr>
          <w:sz w:val="28"/>
          <w:highlight w:val="white"/>
        </w:rPr>
        <w:t>С.И.Фирстков</w:t>
      </w: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rPr>
          <w:sz w:val="28"/>
        </w:rPr>
      </w:pPr>
    </w:p>
    <w:p w14:paraId="26000000">
      <w:pPr>
        <w:rPr>
          <w:sz w:val="28"/>
        </w:rPr>
      </w:pP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sz w:val="28"/>
        </w:rPr>
      </w:pPr>
    </w:p>
    <w:p w14:paraId="2E000000">
      <w:pPr>
        <w:rPr>
          <w:sz w:val="28"/>
        </w:rPr>
      </w:pPr>
    </w:p>
    <w:p w14:paraId="2F000000">
      <w:pPr>
        <w:rPr>
          <w:sz w:val="28"/>
        </w:rPr>
      </w:pPr>
    </w:p>
    <w:p w14:paraId="30000000">
      <w:pPr>
        <w:rPr>
          <w:sz w:val="28"/>
        </w:rPr>
      </w:pPr>
    </w:p>
    <w:p w14:paraId="31000000">
      <w:pPr>
        <w:rPr>
          <w:sz w:val="28"/>
        </w:rPr>
      </w:pPr>
    </w:p>
    <w:p w14:paraId="32000000">
      <w:pPr>
        <w:rPr>
          <w:sz w:val="28"/>
        </w:rPr>
      </w:pPr>
    </w:p>
    <w:p w14:paraId="33000000">
      <w:pPr>
        <w:rPr>
          <w:sz w:val="28"/>
        </w:rPr>
      </w:pPr>
    </w:p>
    <w:p w14:paraId="34000000">
      <w:pPr>
        <w:rPr>
          <w:sz w:val="28"/>
        </w:rPr>
      </w:pPr>
    </w:p>
    <w:p w14:paraId="35000000">
      <w:pPr>
        <w:rPr>
          <w:sz w:val="28"/>
        </w:rPr>
      </w:pPr>
    </w:p>
    <w:p w14:paraId="36000000">
      <w:pPr>
        <w:rPr>
          <w:sz w:val="28"/>
        </w:rPr>
      </w:pPr>
    </w:p>
    <w:p w14:paraId="37000000">
      <w:pPr>
        <w:rPr>
          <w:sz w:val="28"/>
        </w:rPr>
      </w:pPr>
    </w:p>
    <w:p w14:paraId="38000000">
      <w:pPr>
        <w:rPr>
          <w:sz w:val="28"/>
        </w:rPr>
      </w:pPr>
    </w:p>
    <w:p w14:paraId="39000000">
      <w:pPr>
        <w:rPr>
          <w:sz w:val="28"/>
        </w:rPr>
      </w:pPr>
    </w:p>
    <w:p w14:paraId="3A000000">
      <w:pPr>
        <w:rPr>
          <w:sz w:val="28"/>
        </w:rPr>
      </w:pPr>
    </w:p>
    <w:p w14:paraId="3B000000">
      <w:pPr>
        <w:rPr>
          <w:sz w:val="28"/>
        </w:rPr>
      </w:pPr>
    </w:p>
    <w:p w14:paraId="3C000000">
      <w:pPr>
        <w:rPr>
          <w:sz w:val="28"/>
        </w:rPr>
      </w:pPr>
    </w:p>
    <w:p w14:paraId="3D000000">
      <w:pPr>
        <w:rPr>
          <w:sz w:val="28"/>
        </w:rPr>
      </w:pPr>
    </w:p>
    <w:p w14:paraId="3E000000">
      <w:pPr>
        <w:rPr>
          <w:sz w:val="28"/>
        </w:rPr>
      </w:pPr>
    </w:p>
    <w:p w14:paraId="3F000000">
      <w:pPr>
        <w:rPr>
          <w:sz w:val="28"/>
        </w:rPr>
      </w:pPr>
    </w:p>
    <w:p w14:paraId="40000000">
      <w:pPr>
        <w:rPr>
          <w:sz w:val="28"/>
        </w:rPr>
      </w:pPr>
    </w:p>
    <w:p w14:paraId="41000000">
      <w:pPr>
        <w:rPr>
          <w:sz w:val="28"/>
        </w:rPr>
      </w:pPr>
    </w:p>
    <w:p w14:paraId="42000000">
      <w:pPr>
        <w:rPr>
          <w:sz w:val="28"/>
        </w:rPr>
      </w:pPr>
    </w:p>
    <w:p w14:paraId="43000000">
      <w:pPr>
        <w:rPr>
          <w:sz w:val="28"/>
        </w:rPr>
      </w:pPr>
    </w:p>
    <w:p w14:paraId="44000000">
      <w:pPr>
        <w:rPr>
          <w:sz w:val="28"/>
        </w:rPr>
      </w:pPr>
    </w:p>
    <w:p w14:paraId="45000000">
      <w:pPr>
        <w:rPr>
          <w:sz w:val="28"/>
        </w:rPr>
      </w:pPr>
    </w:p>
    <w:tbl>
      <w:tblPr>
        <w:tblStyle w:val="Style_3"/>
        <w:tblInd w:type="dxa" w:w="93"/>
        <w:tblLayout w:type="fixed"/>
      </w:tblPr>
      <w:tblGrid>
        <w:gridCol w:w="2686"/>
        <w:gridCol w:w="823"/>
        <w:gridCol w:w="784"/>
        <w:gridCol w:w="861"/>
        <w:gridCol w:w="784"/>
        <w:gridCol w:w="802"/>
        <w:gridCol w:w="841"/>
        <w:gridCol w:w="783"/>
        <w:gridCol w:w="763"/>
      </w:tblGrid>
      <w:tr>
        <w:trPr>
          <w:trHeight w:hRule="atLeast" w:val="375"/>
        </w:trPr>
        <w:tc>
          <w:tcPr>
            <w:tcW w:type="dxa" w:w="2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6000000">
            <w:pPr>
              <w:ind/>
              <w:jc w:val="center"/>
              <w:rPr>
                <w:b w:val="1"/>
              </w:rPr>
            </w:pPr>
            <w:bookmarkStart w:id="1" w:name="RANGE!A1:I99"/>
            <w:bookmarkEnd w:id="1"/>
          </w:p>
        </w:tc>
        <w:tc>
          <w:tcPr>
            <w:tcW w:type="dxa" w:w="8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7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8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4834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</w:tr>
      <w:tr>
        <w:trPr>
          <w:trHeight w:hRule="atLeast" w:val="375"/>
        </w:trPr>
        <w:tc>
          <w:tcPr>
            <w:tcW w:type="dxa" w:w="2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A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B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C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4834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75"/>
        </w:trPr>
        <w:tc>
          <w:tcPr>
            <w:tcW w:type="dxa" w:w="2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E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F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0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4834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</w:tc>
      </w:tr>
      <w:tr>
        <w:trPr>
          <w:trHeight w:hRule="atLeast" w:val="375"/>
        </w:trPr>
        <w:tc>
          <w:tcPr>
            <w:tcW w:type="dxa" w:w="2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2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3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4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4834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Выселковский</w:t>
            </w:r>
            <w:r>
              <w:rPr>
                <w:sz w:val="28"/>
              </w:rPr>
              <w:t xml:space="preserve"> район</w:t>
            </w:r>
          </w:p>
        </w:tc>
      </w:tr>
      <w:tr>
        <w:trPr>
          <w:trHeight w:hRule="atLeast" w:val="375"/>
        </w:trPr>
        <w:tc>
          <w:tcPr>
            <w:tcW w:type="dxa" w:w="2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6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7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8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4834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 26.12.2023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2122</w:t>
            </w:r>
          </w:p>
        </w:tc>
      </w:tr>
      <w:tr>
        <w:trPr>
          <w:trHeight w:hRule="atLeast" w:val="315"/>
        </w:trPr>
        <w:tc>
          <w:tcPr>
            <w:tcW w:type="dxa" w:w="2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A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B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C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D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8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0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15"/>
        </w:trPr>
        <w:tc>
          <w:tcPr>
            <w:tcW w:type="dxa" w:w="2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3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4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5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6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8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0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15"/>
        </w:trPr>
        <w:tc>
          <w:tcPr>
            <w:tcW w:type="dxa" w:w="9126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C000000">
            <w:pPr>
              <w:spacing w:after="240"/>
              <w:ind/>
              <w:jc w:val="center"/>
            </w:pPr>
            <w:r>
              <w:t xml:space="preserve">     </w:t>
            </w:r>
            <w:r>
              <w:rPr>
                <w:sz w:val="28"/>
              </w:rPr>
              <w:t xml:space="preserve">ОСНОВНЫЕ ПОКАЗАТЕЛИ </w:t>
            </w:r>
          </w:p>
        </w:tc>
      </w:tr>
      <w:tr>
        <w:trPr>
          <w:trHeight w:hRule="atLeast" w:val="375"/>
        </w:trPr>
        <w:tc>
          <w:tcPr>
            <w:tcW w:type="dxa" w:w="836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уточненного прогноза социально-экономического развития</w:t>
            </w:r>
          </w:p>
        </w:tc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E000000"/>
        </w:tc>
      </w:tr>
      <w:tr>
        <w:trPr>
          <w:trHeight w:hRule="atLeast" w:val="375"/>
        </w:trPr>
        <w:tc>
          <w:tcPr>
            <w:tcW w:type="dxa" w:w="9126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муниципального образования </w:t>
            </w:r>
            <w:r>
              <w:rPr>
                <w:color w:val="000000"/>
                <w:sz w:val="28"/>
              </w:rPr>
              <w:t>Выселковский</w:t>
            </w:r>
            <w:r>
              <w:rPr>
                <w:color w:val="000000"/>
                <w:sz w:val="28"/>
              </w:rPr>
              <w:t xml:space="preserve"> район</w:t>
            </w:r>
          </w:p>
        </w:tc>
      </w:tr>
      <w:tr>
        <w:trPr>
          <w:trHeight w:hRule="atLeast" w:val="375"/>
        </w:trPr>
        <w:tc>
          <w:tcPr>
            <w:tcW w:type="dxa" w:w="9126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2024 год и на период до 2026 года</w:t>
            </w:r>
          </w:p>
        </w:tc>
      </w:tr>
      <w:tr>
        <w:trPr>
          <w:trHeight w:hRule="atLeast" w:val="315"/>
        </w:trPr>
        <w:tc>
          <w:tcPr>
            <w:tcW w:type="dxa" w:w="2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0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0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8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0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0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8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0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8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0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8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0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0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405"/>
        </w:trPr>
        <w:tc>
          <w:tcPr>
            <w:tcW w:type="dxa" w:w="2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A00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B000000">
            <w:pPr>
              <w:ind/>
              <w:jc w:val="center"/>
              <w:rPr>
                <w:rFonts w:ascii="Arial Cyr" w:hAnsi="Arial Cyr"/>
                <w:color w:val="000000"/>
                <w:sz w:val="18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C000000">
            <w:pPr>
              <w:ind/>
              <w:jc w:val="center"/>
              <w:rPr>
                <w:rFonts w:ascii="Arial Cyr" w:hAnsi="Arial Cyr"/>
                <w:color w:val="000000"/>
                <w:sz w:val="18"/>
              </w:rPr>
            </w:pPr>
          </w:p>
        </w:tc>
        <w:tc>
          <w:tcPr>
            <w:tcW w:type="dxa" w:w="8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D000000">
            <w:pPr>
              <w:ind/>
              <w:jc w:val="center"/>
              <w:rPr>
                <w:rFonts w:ascii="Arial Cyr" w:hAnsi="Arial Cyr"/>
                <w:color w:val="000000"/>
                <w:sz w:val="18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E000000">
            <w:pPr>
              <w:ind/>
              <w:jc w:val="center"/>
              <w:rPr>
                <w:rFonts w:ascii="Arial Cyr" w:hAnsi="Arial Cyr"/>
                <w:color w:val="000000"/>
                <w:sz w:val="18"/>
              </w:rPr>
            </w:pPr>
          </w:p>
        </w:tc>
        <w:tc>
          <w:tcPr>
            <w:tcW w:type="dxa" w:w="8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F000000">
            <w:pPr>
              <w:ind/>
              <w:jc w:val="center"/>
              <w:rPr>
                <w:rFonts w:ascii="Arial Cyr" w:hAnsi="Arial Cyr"/>
                <w:color w:val="000000"/>
                <w:sz w:val="18"/>
              </w:rPr>
            </w:pPr>
          </w:p>
        </w:tc>
        <w:tc>
          <w:tcPr>
            <w:tcW w:type="dxa" w:w="8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0000000">
            <w:pPr>
              <w:ind/>
              <w:jc w:val="center"/>
              <w:rPr>
                <w:rFonts w:ascii="Arial Cyr" w:hAnsi="Arial Cyr"/>
                <w:color w:val="000000"/>
                <w:sz w:val="18"/>
              </w:rPr>
            </w:pPr>
          </w:p>
        </w:tc>
        <w:tc>
          <w:tcPr>
            <w:tcW w:type="dxa" w:w="78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1000000">
            <w:pPr>
              <w:ind/>
              <w:jc w:val="center"/>
              <w:rPr>
                <w:rFonts w:ascii="Arial Cyr" w:hAnsi="Arial Cyr"/>
                <w:color w:val="000000"/>
                <w:sz w:val="18"/>
              </w:rPr>
            </w:pPr>
          </w:p>
        </w:tc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2000000">
            <w:pPr>
              <w:ind/>
              <w:jc w:val="center"/>
              <w:rPr>
                <w:rFonts w:ascii="Arial Cyr" w:hAnsi="Arial Cyr"/>
                <w:color w:val="000000"/>
                <w:sz w:val="18"/>
              </w:rPr>
            </w:pPr>
          </w:p>
        </w:tc>
      </w:tr>
      <w:tr>
        <w:trPr>
          <w:trHeight w:hRule="atLeast" w:val="720"/>
        </w:trPr>
        <w:tc>
          <w:tcPr>
            <w:tcW w:type="dxa" w:w="2686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НАИМЕНОВАНИЕ ПОКАЗАТЕЛЕЙ</w:t>
            </w:r>
          </w:p>
        </w:tc>
        <w:tc>
          <w:tcPr>
            <w:tcW w:type="dxa" w:w="823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0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отчет</w:t>
            </w:r>
          </w:p>
        </w:tc>
        <w:tc>
          <w:tcPr>
            <w:tcW w:type="dxa" w:w="784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отчет</w:t>
            </w:r>
          </w:p>
        </w:tc>
        <w:tc>
          <w:tcPr>
            <w:tcW w:type="dxa" w:w="861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оценка</w:t>
            </w:r>
          </w:p>
        </w:tc>
        <w:tc>
          <w:tcPr>
            <w:tcW w:type="dxa" w:w="2427"/>
            <w:gridSpan w:val="3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8700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прогноз</w:t>
            </w:r>
          </w:p>
        </w:tc>
        <w:tc>
          <w:tcPr>
            <w:tcW w:type="dxa" w:w="783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2024 г.     в % к   2022 г.</w:t>
            </w:r>
          </w:p>
        </w:tc>
        <w:tc>
          <w:tcPr>
            <w:tcW w:type="dxa" w:w="763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2026 г.    в % к    2022 г.</w:t>
            </w:r>
          </w:p>
        </w:tc>
      </w:tr>
      <w:tr>
        <w:trPr>
          <w:trHeight w:hRule="atLeast" w:val="315"/>
        </w:trPr>
        <w:tc>
          <w:tcPr>
            <w:tcW w:type="dxa" w:w="2686"/>
            <w:tcBorders>
              <w:top w:sz="4" w:val="nil"/>
              <w:left w:color="000000" w:sz="8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8A00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2021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2022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8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2023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8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2024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8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2025</w:t>
            </w:r>
          </w:p>
        </w:tc>
        <w:tc>
          <w:tcPr>
            <w:tcW w:type="dxa" w:w="841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9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2026</w:t>
            </w:r>
          </w:p>
        </w:tc>
        <w:tc>
          <w:tcPr>
            <w:tcW w:type="dxa" w:w="78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</w:tr>
      <w:tr>
        <w:trPr>
          <w:trHeight w:hRule="atLeast" w:val="1200"/>
        </w:trPr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Промышленное производство  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(объем отгруженной продукции) по полному кругу предприятий, млн</w:t>
            </w:r>
            <w:r>
              <w:rPr>
                <w:b w:val="1"/>
                <w:sz w:val="18"/>
              </w:rPr>
              <w:t>.р</w:t>
            </w:r>
            <w:r>
              <w:rPr>
                <w:b w:val="1"/>
                <w:sz w:val="18"/>
              </w:rPr>
              <w:t xml:space="preserve">уб. </w:t>
            </w:r>
          </w:p>
        </w:tc>
        <w:tc>
          <w:tcPr>
            <w:tcW w:type="dxa" w:w="8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49657,2</w:t>
            </w:r>
          </w:p>
        </w:tc>
        <w:tc>
          <w:tcPr>
            <w:tcW w:type="dxa" w:w="7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52813,3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56632,9</w:t>
            </w:r>
          </w:p>
        </w:tc>
        <w:tc>
          <w:tcPr>
            <w:tcW w:type="dxa" w:w="7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60128,3</w:t>
            </w:r>
          </w:p>
        </w:tc>
        <w:tc>
          <w:tcPr>
            <w:tcW w:type="dxa" w:w="8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63406,1</w:t>
            </w:r>
          </w:p>
        </w:tc>
        <w:tc>
          <w:tcPr>
            <w:tcW w:type="dxa" w:w="8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67093,8</w:t>
            </w:r>
          </w:p>
        </w:tc>
        <w:tc>
          <w:tcPr>
            <w:tcW w:type="dxa" w:w="78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113,9</w:t>
            </w:r>
          </w:p>
        </w:tc>
        <w:tc>
          <w:tcPr>
            <w:tcW w:type="dxa" w:w="7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127,0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00000">
            <w:pPr>
              <w:rPr>
                <w:sz w:val="18"/>
              </w:rPr>
            </w:pPr>
            <w:r>
              <w:rPr>
                <w:sz w:val="18"/>
              </w:rPr>
              <w:t xml:space="preserve">в % к </w:t>
            </w:r>
            <w:r>
              <w:rPr>
                <w:sz w:val="18"/>
              </w:rPr>
              <w:t>пред</w:t>
            </w:r>
            <w:r>
              <w:rPr>
                <w:sz w:val="18"/>
              </w:rPr>
              <w:t>. году в действ..ценах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106,4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107,2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106,2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105,5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105,8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00000">
            <w:pPr>
              <w:rPr>
                <w:sz w:val="18"/>
              </w:rPr>
            </w:pPr>
            <w:r>
              <w:rPr>
                <w:sz w:val="18"/>
              </w:rPr>
              <w:t>из общего объема: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0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0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0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0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0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00000">
            <w:pPr>
              <w:rPr>
                <w:sz w:val="18"/>
              </w:rPr>
            </w:pPr>
            <w:r>
              <w:rPr>
                <w:sz w:val="18"/>
              </w:rPr>
              <w:t>по крупным и средним предприятиям, млн. руб.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49328,7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52577,7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56350,2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59835,8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63090,5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66759,5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113,8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127,0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00000">
            <w:pPr>
              <w:rPr>
                <w:sz w:val="18"/>
              </w:rPr>
            </w:pPr>
            <w:r>
              <w:rPr>
                <w:sz w:val="18"/>
              </w:rPr>
              <w:t xml:space="preserve">в % к </w:t>
            </w:r>
            <w:r>
              <w:rPr>
                <w:sz w:val="18"/>
              </w:rPr>
              <w:t>пред</w:t>
            </w:r>
            <w:r>
              <w:rPr>
                <w:sz w:val="18"/>
              </w:rPr>
              <w:t>. году в действ..ценах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106,6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107,2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106,2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105,8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96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0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Объем продукции сельского хозяйства 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 xml:space="preserve">всех сельхозпроизводителей, </w:t>
            </w:r>
            <w:r>
              <w:rPr>
                <w:b w:val="1"/>
                <w:sz w:val="18"/>
              </w:rPr>
              <w:t>млн</w:t>
            </w:r>
            <w:r>
              <w:rPr>
                <w:b w:val="1"/>
                <w:sz w:val="18"/>
              </w:rPr>
              <w:t>.р</w:t>
            </w:r>
            <w:r>
              <w:rPr>
                <w:b w:val="1"/>
                <w:sz w:val="18"/>
              </w:rPr>
              <w:t>уб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23909,3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25348,3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22741,9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25343,8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27324,3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29616,4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100,0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116,8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00000">
            <w:pPr>
              <w:rPr>
                <w:sz w:val="18"/>
              </w:rPr>
            </w:pPr>
            <w:r>
              <w:rPr>
                <w:sz w:val="18"/>
              </w:rPr>
              <w:t xml:space="preserve">    в % к пред. году в </w:t>
            </w:r>
            <w:r>
              <w:rPr>
                <w:sz w:val="18"/>
              </w:rPr>
              <w:t>сопост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116,6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106,9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89,6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104,4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102,9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104,1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93,5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100,2</w:t>
            </w:r>
          </w:p>
        </w:tc>
      </w:tr>
      <w:tr>
        <w:trPr>
          <w:trHeight w:hRule="atLeast" w:val="96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0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Объем услуг по Транспортировке и хранению по полному кругу организаций, млн. руб.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2226,4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1799,6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1564,3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1678,5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1802,6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1939,5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93,3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107,8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00000">
            <w:pPr>
              <w:rPr>
                <w:sz w:val="18"/>
              </w:rPr>
            </w:pPr>
            <w:r>
              <w:rPr>
                <w:sz w:val="18"/>
              </w:rPr>
              <w:t xml:space="preserve">    в % к пред. году в </w:t>
            </w:r>
            <w:r>
              <w:rPr>
                <w:sz w:val="18"/>
              </w:rPr>
              <w:t>дейст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80,8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86,9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107,3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107,6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00000">
            <w:pPr>
              <w:rPr>
                <w:sz w:val="18"/>
              </w:rPr>
            </w:pPr>
            <w:r>
              <w:rPr>
                <w:sz w:val="18"/>
              </w:rPr>
              <w:t>из общего объема: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0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0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0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0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0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00000">
            <w:pPr>
              <w:rPr>
                <w:sz w:val="18"/>
              </w:rPr>
            </w:pPr>
            <w:r>
              <w:rPr>
                <w:sz w:val="18"/>
              </w:rPr>
              <w:t>по крупным и средним организациям, млн</w:t>
            </w:r>
            <w:r>
              <w:rPr>
                <w:sz w:val="18"/>
              </w:rPr>
              <w:t>.р</w:t>
            </w:r>
            <w:r>
              <w:rPr>
                <w:sz w:val="18"/>
              </w:rPr>
              <w:t xml:space="preserve">уб. 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2051,5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1605,0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1352,6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1451,3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1558,7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1677,0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90,4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104,5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00000">
            <w:pPr>
              <w:rPr>
                <w:sz w:val="18"/>
              </w:rPr>
            </w:pPr>
            <w:r>
              <w:rPr>
                <w:sz w:val="18"/>
              </w:rPr>
              <w:t xml:space="preserve">в % к пред. году в </w:t>
            </w:r>
            <w:r>
              <w:rPr>
                <w:sz w:val="18"/>
              </w:rPr>
              <w:t>действ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78,2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84,3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107,3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107,6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0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72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0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Оборот розничной торговли по полному кругу организаций, млн</w:t>
            </w:r>
            <w:r>
              <w:rPr>
                <w:b w:val="1"/>
                <w:sz w:val="18"/>
              </w:rPr>
              <w:t>.р</w:t>
            </w:r>
            <w:r>
              <w:rPr>
                <w:b w:val="1"/>
                <w:sz w:val="18"/>
              </w:rPr>
              <w:t>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8126,8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9288,3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10571,9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11555,7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12582,9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13740,6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124,4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147,9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10000">
            <w:pPr>
              <w:rPr>
                <w:sz w:val="18"/>
              </w:rPr>
            </w:pPr>
            <w:r>
              <w:rPr>
                <w:sz w:val="18"/>
              </w:rPr>
              <w:t xml:space="preserve">    в % к пред. году в </w:t>
            </w:r>
            <w:r>
              <w:rPr>
                <w:sz w:val="18"/>
              </w:rPr>
              <w:t>сопост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116,4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100,3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108,4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104,2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104,4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105,0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113,0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123,8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10000">
            <w:pPr>
              <w:rPr>
                <w:sz w:val="18"/>
              </w:rPr>
            </w:pPr>
            <w:r>
              <w:rPr>
                <w:sz w:val="18"/>
              </w:rPr>
              <w:t>из общего объема: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10000">
            <w:pPr>
              <w:rPr>
                <w:sz w:val="18"/>
              </w:rPr>
            </w:pPr>
            <w:r>
              <w:rPr>
                <w:sz w:val="18"/>
              </w:rPr>
              <w:t>по крупным и средним организациям, млн</w:t>
            </w:r>
            <w:r>
              <w:rPr>
                <w:sz w:val="18"/>
              </w:rPr>
              <w:t>.р</w:t>
            </w:r>
            <w:r>
              <w:rPr>
                <w:sz w:val="18"/>
              </w:rPr>
              <w:t>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4602,8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5236,4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5943,6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6484,3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7040,4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7658,8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123,8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146,3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10000">
            <w:pPr>
              <w:rPr>
                <w:sz w:val="18"/>
              </w:rPr>
            </w:pPr>
            <w:r>
              <w:rPr>
                <w:sz w:val="18"/>
              </w:rPr>
              <w:t xml:space="preserve">    в % к пред. году в </w:t>
            </w:r>
            <w:r>
              <w:rPr>
                <w:sz w:val="18"/>
              </w:rPr>
              <w:t>сопост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116,1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99,8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108,1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104,0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104,1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104,6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112,4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122,4</w:t>
            </w:r>
          </w:p>
        </w:tc>
      </w:tr>
      <w:tr>
        <w:trPr>
          <w:trHeight w:hRule="atLeast" w:val="72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1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Оборот общественного питания по полному кругу организаций, млн</w:t>
            </w:r>
            <w:r>
              <w:rPr>
                <w:b w:val="1"/>
                <w:sz w:val="18"/>
              </w:rPr>
              <w:t>.р</w:t>
            </w:r>
            <w:r>
              <w:rPr>
                <w:b w:val="1"/>
                <w:sz w:val="18"/>
              </w:rPr>
              <w:t>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128,0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157,6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180,0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190,9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203,3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217,4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121,1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137,9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10000">
            <w:pPr>
              <w:rPr>
                <w:sz w:val="18"/>
              </w:rPr>
            </w:pPr>
            <w:r>
              <w:rPr>
                <w:sz w:val="18"/>
              </w:rPr>
              <w:t xml:space="preserve">    в % к пред. году в </w:t>
            </w:r>
            <w:r>
              <w:rPr>
                <w:sz w:val="18"/>
              </w:rPr>
              <w:t>сопост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109,6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108,9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103,0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102,0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102,8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105,1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110,6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10000">
            <w:pPr>
              <w:rPr>
                <w:sz w:val="18"/>
              </w:rPr>
            </w:pPr>
            <w:r>
              <w:rPr>
                <w:sz w:val="18"/>
              </w:rPr>
              <w:t>из общего объема: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10000">
            <w:pPr>
              <w:rPr>
                <w:sz w:val="18"/>
              </w:rPr>
            </w:pPr>
            <w:r>
              <w:rPr>
                <w:sz w:val="18"/>
              </w:rPr>
              <w:t>по крупным и средним организациям, млн</w:t>
            </w:r>
            <w:r>
              <w:rPr>
                <w:sz w:val="18"/>
              </w:rPr>
              <w:t>.р</w:t>
            </w:r>
            <w:r>
              <w:rPr>
                <w:sz w:val="18"/>
              </w:rPr>
              <w:t>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56,4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61,5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69,6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73,6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78,1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83,2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119,6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135,2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10000">
            <w:pPr>
              <w:rPr>
                <w:sz w:val="18"/>
              </w:rPr>
            </w:pPr>
            <w:r>
              <w:rPr>
                <w:sz w:val="18"/>
              </w:rPr>
              <w:t xml:space="preserve">    в % к пред. году в </w:t>
            </w:r>
            <w:r>
              <w:rPr>
                <w:sz w:val="18"/>
              </w:rPr>
              <w:t>сопост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106,5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96,7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4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101,7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102,4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103,7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108,3</w:t>
            </w:r>
          </w:p>
        </w:tc>
      </w:tr>
      <w:tr>
        <w:trPr>
          <w:trHeight w:hRule="atLeast" w:val="144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1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Инвестиции в основной капитал за счет всех источников финансирования (без неформальной экономики) по полному кругу организаций, млн</w:t>
            </w:r>
            <w:r>
              <w:rPr>
                <w:b w:val="1"/>
                <w:sz w:val="18"/>
              </w:rPr>
              <w:t>.р</w:t>
            </w:r>
            <w:r>
              <w:rPr>
                <w:b w:val="1"/>
                <w:sz w:val="18"/>
              </w:rPr>
              <w:t xml:space="preserve">уб.     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2252,6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2468,0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2612,2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2910,4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3230,4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3427,4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117,9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138,9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10000">
            <w:pPr>
              <w:rPr>
                <w:sz w:val="18"/>
              </w:rPr>
            </w:pPr>
            <w:r>
              <w:rPr>
                <w:sz w:val="18"/>
              </w:rPr>
              <w:t xml:space="preserve">    в % к пред. году в </w:t>
            </w:r>
            <w:r>
              <w:rPr>
                <w:sz w:val="18"/>
              </w:rPr>
              <w:t>сопост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174,7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94,9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105,8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105,9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101,4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105,9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113,7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10000">
            <w:pPr>
              <w:rPr>
                <w:sz w:val="18"/>
              </w:rPr>
            </w:pPr>
            <w:r>
              <w:rPr>
                <w:sz w:val="18"/>
              </w:rPr>
              <w:t>из общего объема: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10000">
            <w:pPr>
              <w:rPr>
                <w:sz w:val="18"/>
              </w:rPr>
            </w:pPr>
            <w:r>
              <w:rPr>
                <w:sz w:val="18"/>
              </w:rPr>
              <w:t>по крупным и средним организациям, млн</w:t>
            </w:r>
            <w:r>
              <w:rPr>
                <w:sz w:val="18"/>
              </w:rPr>
              <w:t>.р</w:t>
            </w:r>
            <w:r>
              <w:rPr>
                <w:sz w:val="18"/>
              </w:rPr>
              <w:t>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2046,6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2245,2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2376,2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2658,7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2965,8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3146,8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118,4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140,2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10000">
            <w:pPr>
              <w:rPr>
                <w:sz w:val="18"/>
              </w:rPr>
            </w:pPr>
            <w:r>
              <w:rPr>
                <w:sz w:val="18"/>
              </w:rPr>
              <w:t xml:space="preserve">    в % к пред. году в </w:t>
            </w:r>
            <w:r>
              <w:rPr>
                <w:sz w:val="18"/>
              </w:rPr>
              <w:t>сопост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166,6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95,0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106,3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106,4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101,4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106,3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114,8</w:t>
            </w:r>
          </w:p>
        </w:tc>
      </w:tr>
      <w:tr>
        <w:trPr>
          <w:trHeight w:hRule="atLeast" w:val="144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1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Объем выполненных работ по виду деятельности "строительство" 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(без неформальной экономики) по полному кругу организаций, млн</w:t>
            </w:r>
            <w:r>
              <w:rPr>
                <w:b w:val="1"/>
                <w:sz w:val="18"/>
              </w:rPr>
              <w:t>.р</w:t>
            </w:r>
            <w:r>
              <w:rPr>
                <w:b w:val="1"/>
                <w:sz w:val="18"/>
              </w:rPr>
              <w:t>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752,6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635,3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681,4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819,2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901,7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994,8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128,9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E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156,6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10000">
            <w:pPr>
              <w:rPr>
                <w:sz w:val="18"/>
              </w:rPr>
            </w:pPr>
            <w:r>
              <w:rPr>
                <w:sz w:val="18"/>
              </w:rPr>
              <w:t xml:space="preserve">    в % к пред. году в </w:t>
            </w:r>
            <w:r>
              <w:rPr>
                <w:sz w:val="18"/>
              </w:rPr>
              <w:t>сопост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107,8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75,4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114,8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105,5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106,4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113,2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127,1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10000">
            <w:pPr>
              <w:rPr>
                <w:sz w:val="18"/>
              </w:rPr>
            </w:pPr>
            <w:r>
              <w:rPr>
                <w:sz w:val="18"/>
              </w:rPr>
              <w:t>из общего объема: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10000">
            <w:pPr>
              <w:rPr>
                <w:sz w:val="18"/>
              </w:rPr>
            </w:pPr>
            <w:r>
              <w:rPr>
                <w:sz w:val="18"/>
              </w:rPr>
              <w:t>по крупным и средним организациям, млн</w:t>
            </w:r>
            <w:r>
              <w:rPr>
                <w:sz w:val="18"/>
              </w:rPr>
              <w:t>.р</w:t>
            </w:r>
            <w:r>
              <w:rPr>
                <w:sz w:val="18"/>
              </w:rPr>
              <w:t>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312,9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268,0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293,3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367,4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414,4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467,7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137,1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174,5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10000">
            <w:pPr>
              <w:rPr>
                <w:sz w:val="18"/>
              </w:rPr>
            </w:pPr>
            <w:r>
              <w:rPr>
                <w:sz w:val="18"/>
              </w:rPr>
              <w:t xml:space="preserve">    в % к пред. году в </w:t>
            </w:r>
            <w:r>
              <w:rPr>
                <w:sz w:val="18"/>
              </w:rPr>
              <w:t>сопост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76,6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119,6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108,1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108,8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120,3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141,6</w:t>
            </w:r>
          </w:p>
        </w:tc>
      </w:tr>
      <w:tr>
        <w:trPr>
          <w:trHeight w:hRule="atLeast" w:val="120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Доходы предприятий курортно-туристического комплекса - всего (с учетом доходов малых предприятий и физических лиц), млн</w:t>
            </w:r>
            <w:r>
              <w:rPr>
                <w:b w:val="1"/>
                <w:sz w:val="18"/>
              </w:rPr>
              <w:t>.р</w:t>
            </w:r>
            <w:r>
              <w:rPr>
                <w:b w:val="1"/>
                <w:sz w:val="18"/>
              </w:rPr>
              <w:t>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16,9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17,5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18,2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19,1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20,3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21,6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109,6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123,6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rPr>
                <w:sz w:val="18"/>
              </w:rPr>
            </w:pPr>
            <w:r>
              <w:rPr>
                <w:sz w:val="18"/>
              </w:rPr>
              <w:t xml:space="preserve">    в % к пред. году в </w:t>
            </w:r>
            <w:r>
              <w:rPr>
                <w:sz w:val="18"/>
              </w:rPr>
              <w:t>сопост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173,5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97,2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102,0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102,5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103,0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108,1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10000">
            <w:pPr>
              <w:rPr>
                <w:sz w:val="18"/>
              </w:rPr>
            </w:pPr>
            <w:r>
              <w:rPr>
                <w:sz w:val="18"/>
              </w:rPr>
              <w:t>из общего объема: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10000">
            <w:pPr>
              <w:rPr>
                <w:sz w:val="18"/>
              </w:rPr>
            </w:pPr>
            <w:r>
              <w:rPr>
                <w:sz w:val="18"/>
              </w:rPr>
              <w:t xml:space="preserve">доходы </w:t>
            </w:r>
            <w:r>
              <w:rPr>
                <w:sz w:val="18"/>
              </w:rPr>
              <w:t>колективных</w:t>
            </w:r>
            <w:r>
              <w:rPr>
                <w:sz w:val="18"/>
              </w:rPr>
              <w:t xml:space="preserve"> средств размещения, млн</w:t>
            </w:r>
            <w:r>
              <w:rPr>
                <w:sz w:val="18"/>
              </w:rPr>
              <w:t>.р</w:t>
            </w:r>
            <w:r>
              <w:rPr>
                <w:sz w:val="18"/>
              </w:rPr>
              <w:t>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16,9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17,5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18,2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19,1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20,3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21,6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109,6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123,6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10000">
            <w:pPr>
              <w:rPr>
                <w:sz w:val="18"/>
              </w:rPr>
            </w:pPr>
            <w:r>
              <w:rPr>
                <w:sz w:val="18"/>
              </w:rPr>
              <w:t xml:space="preserve">    в % к пред. году в </w:t>
            </w:r>
            <w:r>
              <w:rPr>
                <w:sz w:val="18"/>
              </w:rPr>
              <w:t>сопост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173,5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97,2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102,0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102,5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103,0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108,1</w:t>
            </w:r>
          </w:p>
        </w:tc>
      </w:tr>
      <w:tr>
        <w:trPr>
          <w:trHeight w:hRule="atLeast" w:val="96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Среднегодовой уровень регистрируемой  безработицы  (</w:t>
            </w:r>
            <w:r>
              <w:rPr>
                <w:b w:val="1"/>
                <w:sz w:val="18"/>
              </w:rPr>
              <w:t>в</w:t>
            </w:r>
            <w:r>
              <w:rPr>
                <w:b w:val="1"/>
                <w:sz w:val="18"/>
              </w:rPr>
              <w:t xml:space="preserve"> % </w:t>
            </w:r>
            <w:r>
              <w:rPr>
                <w:b w:val="1"/>
                <w:sz w:val="18"/>
              </w:rPr>
              <w:t>к</w:t>
            </w:r>
            <w:r>
              <w:rPr>
                <w:b w:val="1"/>
                <w:sz w:val="18"/>
              </w:rPr>
              <w:t xml:space="preserve"> численности рабочей силы)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0,4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0,4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0,4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0,4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x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x</w:t>
            </w:r>
          </w:p>
        </w:tc>
      </w:tr>
      <w:tr>
        <w:trPr>
          <w:trHeight w:hRule="atLeast" w:val="96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1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Сальдированный финансовый результат по полному кругу организаций, млн. руб.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10838,2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14619,3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16347,5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17613,4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19034,9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20661,3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120,5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141,3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%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 предыдущему году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134,9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111,8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107,7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108,1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108,5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1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rPr>
                <w:sz w:val="18"/>
              </w:rPr>
            </w:pPr>
            <w:r>
              <w:rPr>
                <w:sz w:val="18"/>
              </w:rPr>
              <w:t>из общего объема: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rPr>
                <w:sz w:val="18"/>
              </w:rPr>
            </w:pPr>
            <w:r>
              <w:rPr>
                <w:sz w:val="18"/>
              </w:rPr>
              <w:t>по крупным и средним организациям, млн</w:t>
            </w:r>
            <w:r>
              <w:rPr>
                <w:sz w:val="18"/>
              </w:rPr>
              <w:t>.р</w:t>
            </w:r>
            <w:r>
              <w:rPr>
                <w:sz w:val="18"/>
              </w:rPr>
              <w:t xml:space="preserve">уб. 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10552,8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14240,6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15938,7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17171,0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18554,8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20139,0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120,6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141,4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rPr>
                <w:sz w:val="18"/>
              </w:rPr>
            </w:pPr>
            <w:r>
              <w:rPr>
                <w:sz w:val="18"/>
              </w:rPr>
              <w:t xml:space="preserve">в % к пред. году в </w:t>
            </w:r>
            <w:r>
              <w:rPr>
                <w:sz w:val="18"/>
              </w:rPr>
              <w:t>действ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134,9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111,9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107,7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108,1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108,5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72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Прибыль прибыльных  предприятий по полному кругу организаций, млн. руб.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11069,9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14988,3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16499,0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17730,1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19132,9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20740,9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118,3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138,4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%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 предыдущему году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135,4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110,1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107,5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107,9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108,4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rPr>
                <w:sz w:val="18"/>
              </w:rPr>
            </w:pPr>
            <w:r>
              <w:rPr>
                <w:sz w:val="18"/>
              </w:rPr>
              <w:t>из общего объема: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20000">
            <w:pPr>
              <w:rPr>
                <w:sz w:val="18"/>
              </w:rPr>
            </w:pPr>
            <w:r>
              <w:rPr>
                <w:sz w:val="18"/>
              </w:rPr>
              <w:t>по крупным и средним организациям, млн</w:t>
            </w:r>
            <w:r>
              <w:rPr>
                <w:sz w:val="18"/>
              </w:rPr>
              <w:t>.р</w:t>
            </w:r>
            <w:r>
              <w:rPr>
                <w:sz w:val="18"/>
              </w:rPr>
              <w:t xml:space="preserve">уб. 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10732,7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14577,8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16062,6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17264,8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18635,3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20206,2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118,4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138,6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20000">
            <w:pPr>
              <w:rPr>
                <w:sz w:val="18"/>
              </w:rPr>
            </w:pPr>
            <w:r>
              <w:rPr>
                <w:sz w:val="18"/>
              </w:rPr>
              <w:t xml:space="preserve">в % к пред. году в </w:t>
            </w:r>
            <w:r>
              <w:rPr>
                <w:sz w:val="18"/>
              </w:rPr>
              <w:t>действ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135,8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110,2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107,5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107,9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108,4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72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2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Убыток по всем видам деятельности по полному кругу организаций, млн. руб.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231,7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369,0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151,4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116,6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98,0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79,6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31,6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21,6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2000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%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 предыдущему году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159,3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41,0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77,0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84,0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81,2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4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rPr>
                <w:sz w:val="18"/>
              </w:rPr>
            </w:pPr>
            <w:r>
              <w:rPr>
                <w:sz w:val="18"/>
              </w:rPr>
              <w:t>из общего объема: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rPr>
                <w:sz w:val="18"/>
              </w:rPr>
            </w:pPr>
            <w:r>
              <w:rPr>
                <w:sz w:val="18"/>
              </w:rPr>
              <w:t>по крупным и средним организациям, млн</w:t>
            </w:r>
            <w:r>
              <w:rPr>
                <w:sz w:val="18"/>
              </w:rPr>
              <w:t>.р</w:t>
            </w:r>
            <w:r>
              <w:rPr>
                <w:sz w:val="18"/>
              </w:rPr>
              <w:t xml:space="preserve">уб. 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179,9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337,2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123,9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93,8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80,5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67,2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27,8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19,9</w:t>
            </w:r>
          </w:p>
        </w:tc>
      </w:tr>
      <w:tr>
        <w:trPr>
          <w:trHeight w:hRule="atLeast" w:val="2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rPr>
                <w:sz w:val="18"/>
              </w:rPr>
            </w:pPr>
            <w:r>
              <w:rPr>
                <w:sz w:val="18"/>
              </w:rPr>
              <w:t xml:space="preserve">в % к пред. году в </w:t>
            </w:r>
            <w:r>
              <w:rPr>
                <w:sz w:val="18"/>
              </w:rPr>
              <w:t>действ</w:t>
            </w:r>
            <w:r>
              <w:rPr>
                <w:sz w:val="18"/>
              </w:rPr>
              <w:t>.ц</w:t>
            </w:r>
            <w:r>
              <w:rPr>
                <w:sz w:val="18"/>
              </w:rPr>
              <w:t>енах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187,4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36,7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75,7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85,8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83,5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96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Фонд заработной платы по полному кругу организаций без централизованного </w:t>
            </w:r>
            <w:r>
              <w:rPr>
                <w:b w:val="1"/>
                <w:sz w:val="18"/>
              </w:rPr>
              <w:t>досчета</w:t>
            </w:r>
            <w:r>
              <w:rPr>
                <w:b w:val="1"/>
                <w:sz w:val="18"/>
              </w:rPr>
              <w:t>, млн</w:t>
            </w:r>
            <w:r>
              <w:rPr>
                <w:b w:val="1"/>
                <w:sz w:val="18"/>
              </w:rPr>
              <w:t>.р</w:t>
            </w:r>
            <w:r>
              <w:rPr>
                <w:b w:val="1"/>
                <w:sz w:val="18"/>
              </w:rPr>
              <w:t>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9110,7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10477,1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11849,6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12572,4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13289,1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14073,1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120,0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134,3</w:t>
            </w: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2000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%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 предыдущему году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115,0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113,1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106,1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105,7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105,9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20000">
            <w:pPr>
              <w:rPr>
                <w:sz w:val="18"/>
              </w:rPr>
            </w:pPr>
            <w:r>
              <w:rPr>
                <w:sz w:val="18"/>
              </w:rPr>
              <w:t>из общего объема: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49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rPr>
                <w:sz w:val="18"/>
              </w:rPr>
            </w:pPr>
            <w:r>
              <w:rPr>
                <w:sz w:val="18"/>
              </w:rPr>
              <w:t>по крупным и средним организациям, млн</w:t>
            </w:r>
            <w:r>
              <w:rPr>
                <w:sz w:val="18"/>
              </w:rPr>
              <w:t>.р</w:t>
            </w:r>
            <w:r>
              <w:rPr>
                <w:sz w:val="18"/>
              </w:rPr>
              <w:t xml:space="preserve">уб. 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8758,2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10125,7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E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11450,0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12148,5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12840,9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13598,5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120,0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134,3</w:t>
            </w: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2000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%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 предыдущему году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115,6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113,1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106,1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105,7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105,9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145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Численность работающих для расчета среднемесячной заработной платы по полному кругу организаций без централизованного </w:t>
            </w:r>
            <w:r>
              <w:rPr>
                <w:b w:val="1"/>
                <w:sz w:val="18"/>
              </w:rPr>
              <w:t>досчета</w:t>
            </w:r>
            <w:r>
              <w:rPr>
                <w:b w:val="1"/>
                <w:sz w:val="18"/>
              </w:rPr>
              <w:t>, тыс</w:t>
            </w:r>
            <w:r>
              <w:rPr>
                <w:b w:val="1"/>
                <w:sz w:val="18"/>
              </w:rPr>
              <w:t>.ч</w:t>
            </w:r>
            <w:r>
              <w:rPr>
                <w:b w:val="1"/>
                <w:sz w:val="18"/>
              </w:rPr>
              <w:t>ел.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17,880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17,151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16,980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16,997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17,031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17,065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99,1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99,5</w:t>
            </w: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%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 предыдущему году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95,9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99,0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100,1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100,2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100,2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rPr>
                <w:sz w:val="18"/>
              </w:rPr>
            </w:pPr>
            <w:r>
              <w:rPr>
                <w:sz w:val="18"/>
              </w:rPr>
              <w:t>из общего объема: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49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rPr>
                <w:sz w:val="18"/>
              </w:rPr>
            </w:pPr>
            <w:r>
              <w:rPr>
                <w:sz w:val="18"/>
              </w:rPr>
              <w:t>по крупным и средним организациям, тыс</w:t>
            </w:r>
            <w:r>
              <w:rPr>
                <w:sz w:val="18"/>
              </w:rPr>
              <w:t>.ч</w:t>
            </w:r>
            <w:r>
              <w:rPr>
                <w:sz w:val="18"/>
              </w:rPr>
              <w:t>ел.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17,140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16,440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16,193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16,210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16,227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16,244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98,6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98,8</w:t>
            </w: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 %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 предыдущему году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95,9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98,5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100,1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100,1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121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Среднемесячная заработная плата по полному кругу организаций без централизованного </w:t>
            </w:r>
            <w:r>
              <w:rPr>
                <w:b w:val="1"/>
                <w:sz w:val="18"/>
              </w:rPr>
              <w:t>досчета</w:t>
            </w:r>
            <w:r>
              <w:rPr>
                <w:b w:val="1"/>
                <w:sz w:val="18"/>
              </w:rPr>
              <w:t>, рублей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42461,1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50905,5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58154,7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61640,3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65024,1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68723,0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121,1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135,0</w:t>
            </w: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2000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%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 предыдущему году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119,9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114,2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106,0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105,5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105,7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73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2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42582,3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51327,1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58924,6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62453,7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65944,1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69761,7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121,7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135,9</w:t>
            </w: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2000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%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 предыдущему году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120,5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114,8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106,0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105,6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105,8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73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Полная учетная стоимость основных фондов на конец года, млн</w:t>
            </w:r>
            <w:r>
              <w:rPr>
                <w:b w:val="1"/>
                <w:color w:val="000000"/>
                <w:sz w:val="18"/>
              </w:rPr>
              <w:t>.р</w:t>
            </w:r>
            <w:r>
              <w:rPr>
                <w:b w:val="1"/>
                <w:color w:val="000000"/>
                <w:sz w:val="18"/>
              </w:rPr>
              <w:t>уб.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79736,0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82082,0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83217,0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84394,0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87621,0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92769,0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102,8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113,0</w:t>
            </w: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%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 предыдущему году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102,9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101,4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101,4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103,8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105,9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2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97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Количество субъектов малого и среднего предпринимательства, единиц</w:t>
            </w:r>
            <w:r>
              <w:rPr>
                <w:b w:val="1"/>
                <w:color w:val="000000"/>
                <w:sz w:val="18"/>
                <w:vertAlign w:val="superscript"/>
              </w:rPr>
              <w:t xml:space="preserve"> 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1849,0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1970,0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1982,0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1989,0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1998,0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2018,0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101,0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102,4</w:t>
            </w: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%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 предыдущему году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106,5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100,6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100,4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100,5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101,0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>
        <w:trPr>
          <w:trHeight w:hRule="atLeast" w:val="73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Среднесписочная численность работников субъектов МСП, человек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932,0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1028,0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1030,0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1034,0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1038,0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1048,0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100,6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101,9</w:t>
            </w: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%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 предыдущему году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100,2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100,4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100,4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101,0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>
        <w:trPr>
          <w:trHeight w:hRule="atLeast" w:val="73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Численность постоянного населения (среднегодовая), тыс. человек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56,180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55,029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54,649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54,666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54,705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54,775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99,3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99,5</w:t>
            </w: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%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 предыдущему году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98,0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99,3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100,0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100,1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100,1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>
        <w:trPr>
          <w:trHeight w:hRule="atLeast" w:val="735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Среднегодовая численность занятых в экономике, тыс. человек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27,088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27,166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27,698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27,268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27,280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27,321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100,4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100,6</w:t>
            </w: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3000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%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 предыдущему году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100,3</w:t>
            </w:r>
          </w:p>
        </w:tc>
        <w:tc>
          <w:tcPr>
            <w:tcW w:type="dxa" w:w="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102,0</w:t>
            </w:r>
          </w:p>
        </w:tc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98,4</w:t>
            </w:r>
          </w:p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30000">
            <w:pPr>
              <w:ind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100,2</w:t>
            </w:r>
          </w:p>
        </w:tc>
        <w:tc>
          <w:tcPr>
            <w:tcW w:type="dxa" w:w="7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8030000">
            <w:pPr>
              <w:rPr>
                <w:sz w:val="22"/>
              </w:rPr>
            </w:pPr>
          </w:p>
        </w:tc>
        <w:tc>
          <w:tcPr>
            <w:tcW w:type="dxa" w:w="8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9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A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B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C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F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003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1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2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3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4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6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7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8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3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3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75"/>
        </w:trPr>
        <w:tc>
          <w:tcPr>
            <w:tcW w:type="dxa" w:w="429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3030000">
            <w:pPr>
              <w:rPr>
                <w:sz w:val="28"/>
              </w:rPr>
            </w:pPr>
            <w:r>
              <w:rPr>
                <w:sz w:val="28"/>
              </w:rPr>
              <w:t xml:space="preserve">Первый заместитель главы </w:t>
            </w:r>
          </w:p>
        </w:tc>
        <w:tc>
          <w:tcPr>
            <w:tcW w:type="dxa" w:w="8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4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5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6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3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75"/>
        </w:trPr>
        <w:tc>
          <w:tcPr>
            <w:tcW w:type="dxa" w:w="35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3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3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75"/>
        </w:trPr>
        <w:tc>
          <w:tcPr>
            <w:tcW w:type="dxa" w:w="35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30000">
            <w:pPr>
              <w:rPr>
                <w:sz w:val="28"/>
              </w:rPr>
            </w:pPr>
            <w:r>
              <w:rPr>
                <w:sz w:val="28"/>
              </w:rPr>
              <w:t>Выселковский</w:t>
            </w:r>
            <w:r>
              <w:rPr>
                <w:sz w:val="28"/>
              </w:rPr>
              <w:t xml:space="preserve"> район</w:t>
            </w: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38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3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Т.П.Коробова</w:t>
            </w:r>
          </w:p>
        </w:tc>
      </w:tr>
      <w:tr>
        <w:trPr>
          <w:trHeight w:hRule="atLeast" w:val="300"/>
        </w:trPr>
        <w:tc>
          <w:tcPr>
            <w:tcW w:type="dxa" w:w="2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30000">
            <w:pPr>
              <w:rPr>
                <w:sz w:val="22"/>
              </w:rPr>
            </w:pPr>
          </w:p>
        </w:tc>
        <w:tc>
          <w:tcPr>
            <w:tcW w:type="dxa" w:w="8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B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3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0030000">
            <w:pPr>
              <w:rPr>
                <w:rFonts w:ascii="Calibri" w:hAnsi="Calibri"/>
                <w:sz w:val="22"/>
              </w:rPr>
            </w:pPr>
          </w:p>
        </w:tc>
      </w:tr>
    </w:tbl>
    <w:p w14:paraId="81030000">
      <w:pPr>
        <w:rPr>
          <w:sz w:val="28"/>
        </w:rPr>
      </w:pPr>
    </w:p>
    <w:p w14:paraId="82030000">
      <w:pPr>
        <w:rPr>
          <w:sz w:val="28"/>
        </w:rPr>
      </w:pPr>
    </w:p>
    <w:p w14:paraId="83030000">
      <w:pPr>
        <w:rPr>
          <w:sz w:val="28"/>
        </w:rPr>
      </w:pPr>
    </w:p>
    <w:p w14:paraId="84030000">
      <w:pPr>
        <w:pStyle w:val="Style_4"/>
        <w:rPr>
          <w:rFonts w:ascii="Times New Roman" w:hAnsi="Times New Roman"/>
          <w:sz w:val="28"/>
        </w:rPr>
      </w:pPr>
    </w:p>
    <w:p w14:paraId="85030000">
      <w:pPr>
        <w:pStyle w:val="Style_4"/>
        <w:rPr>
          <w:rFonts w:ascii="Times New Roman" w:hAnsi="Times New Roman"/>
          <w:sz w:val="28"/>
        </w:rPr>
      </w:pPr>
    </w:p>
    <w:p w14:paraId="86030000">
      <w:pPr>
        <w:pStyle w:val="Style_4"/>
        <w:rPr>
          <w:rFonts w:ascii="Times New Roman" w:hAnsi="Times New Roman"/>
          <w:sz w:val="28"/>
        </w:rPr>
      </w:pPr>
    </w:p>
    <w:p w14:paraId="87030000">
      <w:pPr>
        <w:pStyle w:val="Style_4"/>
        <w:rPr>
          <w:rFonts w:ascii="Times New Roman" w:hAnsi="Times New Roman"/>
          <w:sz w:val="28"/>
        </w:rPr>
      </w:pPr>
    </w:p>
    <w:p w14:paraId="88030000">
      <w:pPr>
        <w:pStyle w:val="Style_4"/>
        <w:rPr>
          <w:rFonts w:ascii="Times New Roman" w:hAnsi="Times New Roman"/>
          <w:sz w:val="28"/>
        </w:rPr>
      </w:pPr>
    </w:p>
    <w:p w14:paraId="89030000">
      <w:pPr>
        <w:pStyle w:val="Style_4"/>
        <w:rPr>
          <w:rFonts w:ascii="Times New Roman" w:hAnsi="Times New Roman"/>
          <w:sz w:val="28"/>
        </w:rPr>
      </w:pPr>
    </w:p>
    <w:p w14:paraId="8A030000">
      <w:pPr>
        <w:pStyle w:val="Style_4"/>
        <w:rPr>
          <w:rFonts w:ascii="Times New Roman" w:hAnsi="Times New Roman"/>
          <w:sz w:val="28"/>
        </w:rPr>
      </w:pPr>
    </w:p>
    <w:p w14:paraId="8B030000">
      <w:pPr>
        <w:pStyle w:val="Style_4"/>
        <w:rPr>
          <w:rFonts w:ascii="Times New Roman" w:hAnsi="Times New Roman"/>
          <w:sz w:val="28"/>
        </w:rPr>
      </w:pPr>
    </w:p>
    <w:p w14:paraId="8C030000">
      <w:pPr>
        <w:pStyle w:val="Style_4"/>
        <w:rPr>
          <w:rFonts w:ascii="Times New Roman" w:hAnsi="Times New Roman"/>
          <w:sz w:val="28"/>
        </w:rPr>
      </w:pPr>
    </w:p>
    <w:p w14:paraId="8D030000">
      <w:pPr>
        <w:pStyle w:val="Style_4"/>
        <w:rPr>
          <w:rFonts w:ascii="Times New Roman" w:hAnsi="Times New Roman"/>
          <w:sz w:val="28"/>
        </w:rPr>
      </w:pPr>
    </w:p>
    <w:p w14:paraId="8E030000">
      <w:pPr>
        <w:pStyle w:val="Style_4"/>
        <w:rPr>
          <w:rFonts w:ascii="Times New Roman" w:hAnsi="Times New Roman"/>
          <w:sz w:val="28"/>
        </w:rPr>
      </w:pPr>
    </w:p>
    <w:p w14:paraId="8F030000">
      <w:pPr>
        <w:pStyle w:val="Style_4"/>
        <w:rPr>
          <w:rFonts w:ascii="Times New Roman" w:hAnsi="Times New Roman"/>
          <w:sz w:val="28"/>
        </w:rPr>
      </w:pPr>
    </w:p>
    <w:p w14:paraId="90030000">
      <w:pPr>
        <w:pStyle w:val="Style_4"/>
        <w:rPr>
          <w:rFonts w:ascii="Times New Roman" w:hAnsi="Times New Roman"/>
          <w:sz w:val="28"/>
        </w:rPr>
      </w:pPr>
    </w:p>
    <w:p w14:paraId="91030000">
      <w:pPr>
        <w:pStyle w:val="Style_4"/>
        <w:rPr>
          <w:rFonts w:ascii="Times New Roman" w:hAnsi="Times New Roman"/>
          <w:sz w:val="28"/>
        </w:rPr>
      </w:pPr>
    </w:p>
    <w:p w14:paraId="92030000">
      <w:pPr>
        <w:pStyle w:val="Style_4"/>
        <w:rPr>
          <w:rFonts w:ascii="Times New Roman" w:hAnsi="Times New Roman"/>
          <w:sz w:val="28"/>
        </w:rPr>
      </w:pPr>
    </w:p>
    <w:p w14:paraId="93030000">
      <w:pPr>
        <w:pStyle w:val="Style_4"/>
        <w:rPr>
          <w:rFonts w:ascii="Times New Roman" w:hAnsi="Times New Roman"/>
          <w:sz w:val="28"/>
        </w:rPr>
      </w:pPr>
    </w:p>
    <w:p w14:paraId="94030000">
      <w:pPr>
        <w:pStyle w:val="Style_4"/>
        <w:rPr>
          <w:rFonts w:ascii="Times New Roman" w:hAnsi="Times New Roman"/>
          <w:sz w:val="28"/>
        </w:rPr>
      </w:pPr>
    </w:p>
    <w:p w14:paraId="95030000">
      <w:pPr>
        <w:pStyle w:val="Style_4"/>
        <w:rPr>
          <w:rFonts w:ascii="Times New Roman" w:hAnsi="Times New Roman"/>
          <w:sz w:val="28"/>
        </w:rPr>
      </w:pPr>
    </w:p>
    <w:p w14:paraId="96030000">
      <w:pPr>
        <w:pStyle w:val="Style_4"/>
        <w:rPr>
          <w:rFonts w:ascii="Times New Roman" w:hAnsi="Times New Roman"/>
          <w:sz w:val="28"/>
        </w:rPr>
      </w:pPr>
    </w:p>
    <w:p w14:paraId="97030000">
      <w:pPr>
        <w:pStyle w:val="Style_4"/>
        <w:rPr>
          <w:rFonts w:ascii="Times New Roman" w:hAnsi="Times New Roman"/>
          <w:sz w:val="28"/>
        </w:rPr>
      </w:pPr>
    </w:p>
    <w:p w14:paraId="98030000">
      <w:pPr>
        <w:pStyle w:val="Style_4"/>
        <w:rPr>
          <w:rFonts w:ascii="Times New Roman" w:hAnsi="Times New Roman"/>
          <w:sz w:val="28"/>
        </w:rPr>
      </w:pPr>
    </w:p>
    <w:p w14:paraId="99030000">
      <w:pPr>
        <w:pStyle w:val="Style_4"/>
        <w:rPr>
          <w:rFonts w:ascii="Times New Roman" w:hAnsi="Times New Roman"/>
          <w:sz w:val="28"/>
        </w:rPr>
      </w:pPr>
    </w:p>
    <w:p w14:paraId="9A030000">
      <w:pPr>
        <w:pStyle w:val="Style_4"/>
        <w:rPr>
          <w:rFonts w:ascii="Times New Roman" w:hAnsi="Times New Roman"/>
          <w:sz w:val="28"/>
        </w:rPr>
      </w:pPr>
    </w:p>
    <w:p w14:paraId="9B030000">
      <w:pPr>
        <w:pStyle w:val="Style_4"/>
        <w:rPr>
          <w:rFonts w:ascii="Times New Roman" w:hAnsi="Times New Roman"/>
          <w:sz w:val="28"/>
        </w:rPr>
      </w:pPr>
    </w:p>
    <w:p w14:paraId="9C030000">
      <w:pPr>
        <w:pStyle w:val="Style_4"/>
        <w:rPr>
          <w:rFonts w:ascii="Times New Roman" w:hAnsi="Times New Roman"/>
          <w:sz w:val="28"/>
        </w:rPr>
      </w:pPr>
    </w:p>
    <w:p w14:paraId="9D030000">
      <w:pPr>
        <w:pStyle w:val="Style_4"/>
        <w:rPr>
          <w:rFonts w:ascii="Times New Roman" w:hAnsi="Times New Roman"/>
          <w:sz w:val="28"/>
        </w:rPr>
      </w:pPr>
    </w:p>
    <w:p w14:paraId="9E030000">
      <w:pPr>
        <w:pStyle w:val="Style_4"/>
        <w:rPr>
          <w:rFonts w:ascii="Times New Roman" w:hAnsi="Times New Roman"/>
          <w:sz w:val="28"/>
        </w:rPr>
      </w:pPr>
    </w:p>
    <w:p w14:paraId="9F030000">
      <w:pPr>
        <w:pStyle w:val="Style_4"/>
        <w:rPr>
          <w:rFonts w:ascii="Times New Roman" w:hAnsi="Times New Roman"/>
          <w:sz w:val="28"/>
        </w:rPr>
      </w:pPr>
    </w:p>
    <w:p w14:paraId="A0030000">
      <w:pPr>
        <w:pStyle w:val="Style_4"/>
        <w:rPr>
          <w:rFonts w:ascii="Times New Roman" w:hAnsi="Times New Roman"/>
          <w:sz w:val="28"/>
        </w:rPr>
      </w:pPr>
    </w:p>
    <w:p w14:paraId="A1030000">
      <w:pPr>
        <w:pStyle w:val="Style_4"/>
        <w:rPr>
          <w:rFonts w:ascii="Times New Roman" w:hAnsi="Times New Roman"/>
          <w:sz w:val="28"/>
        </w:rPr>
      </w:pPr>
    </w:p>
    <w:p w14:paraId="A2030000">
      <w:pPr>
        <w:pStyle w:val="Style_4"/>
        <w:rPr>
          <w:rFonts w:ascii="Times New Roman" w:hAnsi="Times New Roman"/>
          <w:sz w:val="28"/>
        </w:rPr>
      </w:pPr>
    </w:p>
    <w:p w14:paraId="A3030000">
      <w:pPr>
        <w:pStyle w:val="Style_4"/>
        <w:rPr>
          <w:rFonts w:ascii="Times New Roman" w:hAnsi="Times New Roman"/>
          <w:sz w:val="28"/>
        </w:rPr>
      </w:pPr>
    </w:p>
    <w:p w14:paraId="A4030000">
      <w:pPr>
        <w:pStyle w:val="Style_4"/>
        <w:rPr>
          <w:rFonts w:ascii="Times New Roman" w:hAnsi="Times New Roman"/>
          <w:sz w:val="28"/>
        </w:rPr>
      </w:pPr>
    </w:p>
    <w:p w14:paraId="A5030000">
      <w:pPr>
        <w:pStyle w:val="Style_4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Обычный1"/>
    <w:link w:val="Style_6_ch"/>
    <w:rPr>
      <w:sz w:val="24"/>
    </w:rPr>
  </w:style>
  <w:style w:styleId="Style_6_ch" w:type="character">
    <w:name w:val="Обычный1"/>
    <w:link w:val="Style_6"/>
    <w:rPr>
      <w:sz w:val="24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xl109"/>
    <w:basedOn w:val="Style_5"/>
    <w:link w:val="Style_8_ch"/>
    <w:pPr>
      <w:spacing w:afterAutospacing="on" w:beforeAutospacing="on"/>
      <w:ind/>
      <w:jc w:val="center"/>
    </w:pPr>
    <w:rPr>
      <w:b w:val="1"/>
      <w:color w:val="000000"/>
      <w:sz w:val="20"/>
    </w:rPr>
  </w:style>
  <w:style w:styleId="Style_8_ch" w:type="character">
    <w:name w:val="xl109"/>
    <w:basedOn w:val="Style_5_ch"/>
    <w:link w:val="Style_8"/>
    <w:rPr>
      <w:b w:val="1"/>
      <w:color w:val="000000"/>
      <w:sz w:val="20"/>
    </w:rPr>
  </w:style>
  <w:style w:styleId="Style_9" w:type="paragraph">
    <w:name w:val="xl68"/>
    <w:basedOn w:val="Style_5"/>
    <w:link w:val="Style_9_ch"/>
    <w:pPr>
      <w:spacing w:afterAutospacing="on" w:beforeAutospacing="on"/>
      <w:ind/>
      <w:jc w:val="center"/>
    </w:pPr>
    <w:rPr>
      <w:color w:val="000000"/>
    </w:rPr>
  </w:style>
  <w:style w:styleId="Style_9_ch" w:type="character">
    <w:name w:val="xl68"/>
    <w:basedOn w:val="Style_5_ch"/>
    <w:link w:val="Style_9"/>
    <w:rPr>
      <w:color w:val="000000"/>
    </w:rPr>
  </w:style>
  <w:style w:styleId="Style_10" w:type="paragraph">
    <w:name w:val="xl73"/>
    <w:basedOn w:val="Style_5"/>
    <w:link w:val="Style_10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10_ch" w:type="character">
    <w:name w:val="xl73"/>
    <w:basedOn w:val="Style_5_ch"/>
    <w:link w:val="Style_10"/>
    <w:rPr>
      <w:b w:val="1"/>
      <w:color w:val="000000"/>
      <w:sz w:val="18"/>
    </w:rPr>
  </w:style>
  <w:style w:styleId="Style_11" w:type="paragraph">
    <w:name w:val="xl85"/>
    <w:basedOn w:val="Style_5"/>
    <w:link w:val="Style_11_ch"/>
    <w:pPr>
      <w:spacing w:afterAutospacing="on" w:beforeAutospacing="on"/>
      <w:ind/>
    </w:pPr>
    <w:rPr>
      <w:color w:val="000000"/>
      <w:sz w:val="18"/>
    </w:rPr>
  </w:style>
  <w:style w:styleId="Style_11_ch" w:type="character">
    <w:name w:val="xl85"/>
    <w:basedOn w:val="Style_5_ch"/>
    <w:link w:val="Style_11"/>
    <w:rPr>
      <w:color w:val="000000"/>
      <w:sz w:val="18"/>
    </w:rPr>
  </w:style>
  <w:style w:styleId="Style_12" w:type="paragraph">
    <w:name w:val="toc 4"/>
    <w:next w:val="Style_5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xl64"/>
    <w:basedOn w:val="Style_5"/>
    <w:link w:val="Style_13_ch"/>
    <w:pPr>
      <w:spacing w:afterAutospacing="on" w:beforeAutospacing="on"/>
      <w:ind/>
      <w:jc w:val="center"/>
    </w:pPr>
    <w:rPr>
      <w:color w:val="000000"/>
    </w:rPr>
  </w:style>
  <w:style w:styleId="Style_13_ch" w:type="character">
    <w:name w:val="xl64"/>
    <w:basedOn w:val="Style_5_ch"/>
    <w:link w:val="Style_13"/>
    <w:rPr>
      <w:color w:val="000000"/>
    </w:rPr>
  </w:style>
  <w:style w:styleId="Style_14" w:type="paragraph">
    <w:name w:val="xl92"/>
    <w:basedOn w:val="Style_5"/>
    <w:link w:val="Style_14_ch"/>
    <w:pPr>
      <w:spacing w:afterAutospacing="on" w:beforeAutospacing="on"/>
      <w:ind/>
    </w:pPr>
    <w:rPr>
      <w:color w:val="000000"/>
    </w:rPr>
  </w:style>
  <w:style w:styleId="Style_14_ch" w:type="character">
    <w:name w:val="xl92"/>
    <w:basedOn w:val="Style_5_ch"/>
    <w:link w:val="Style_14"/>
    <w:rPr>
      <w:color w:val="000000"/>
    </w:rPr>
  </w:style>
  <w:style w:styleId="Style_15" w:type="paragraph">
    <w:name w:val="toc 6"/>
    <w:next w:val="Style_5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xl76"/>
    <w:basedOn w:val="Style_5"/>
    <w:link w:val="Style_16_ch"/>
    <w:pPr>
      <w:spacing w:afterAutospacing="on" w:beforeAutospacing="on"/>
      <w:ind/>
      <w:jc w:val="center"/>
    </w:pPr>
    <w:rPr>
      <w:b w:val="1"/>
      <w:color w:val="000000"/>
    </w:rPr>
  </w:style>
  <w:style w:styleId="Style_16_ch" w:type="character">
    <w:name w:val="xl76"/>
    <w:basedOn w:val="Style_5_ch"/>
    <w:link w:val="Style_16"/>
    <w:rPr>
      <w:b w:val="1"/>
      <w:color w:val="000000"/>
    </w:rPr>
  </w:style>
  <w:style w:styleId="Style_17" w:type="paragraph">
    <w:name w:val="toc 7"/>
    <w:next w:val="Style_5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xl82"/>
    <w:basedOn w:val="Style_5"/>
    <w:link w:val="Style_18_ch"/>
    <w:pPr>
      <w:spacing w:afterAutospacing="on" w:beforeAutospacing="on"/>
      <w:ind/>
    </w:pPr>
    <w:rPr>
      <w:color w:val="000000"/>
      <w:sz w:val="18"/>
    </w:rPr>
  </w:style>
  <w:style w:styleId="Style_18_ch" w:type="character">
    <w:name w:val="xl82"/>
    <w:basedOn w:val="Style_5_ch"/>
    <w:link w:val="Style_18"/>
    <w:rPr>
      <w:color w:val="000000"/>
      <w:sz w:val="18"/>
    </w:rPr>
  </w:style>
  <w:style w:styleId="Style_19" w:type="paragraph">
    <w:name w:val="xl69"/>
    <w:basedOn w:val="Style_5"/>
    <w:link w:val="Style_19_ch"/>
    <w:pPr>
      <w:spacing w:afterAutospacing="on" w:beforeAutospacing="on"/>
      <w:ind/>
      <w:jc w:val="center"/>
    </w:pPr>
    <w:rPr>
      <w:b w:val="1"/>
      <w:sz w:val="18"/>
    </w:rPr>
  </w:style>
  <w:style w:styleId="Style_19_ch" w:type="character">
    <w:name w:val="xl69"/>
    <w:basedOn w:val="Style_5_ch"/>
    <w:link w:val="Style_19"/>
    <w:rPr>
      <w:b w:val="1"/>
      <w:sz w:val="18"/>
    </w:rPr>
  </w:style>
  <w:style w:styleId="Style_20" w:type="paragraph">
    <w:name w:val="xl97"/>
    <w:basedOn w:val="Style_5"/>
    <w:link w:val="Style_20_ch"/>
    <w:pPr>
      <w:spacing w:afterAutospacing="on" w:beforeAutospacing="on"/>
      <w:ind/>
      <w:jc w:val="center"/>
    </w:pPr>
    <w:rPr>
      <w:b w:val="1"/>
      <w:sz w:val="18"/>
    </w:rPr>
  </w:style>
  <w:style w:styleId="Style_20_ch" w:type="character">
    <w:name w:val="xl97"/>
    <w:basedOn w:val="Style_5_ch"/>
    <w:link w:val="Style_20"/>
    <w:rPr>
      <w:b w:val="1"/>
      <w:sz w:val="18"/>
    </w:rPr>
  </w:style>
  <w:style w:styleId="Style_2" w:type="paragraph">
    <w:name w:val="heading 3"/>
    <w:basedOn w:val="Style_5"/>
    <w:next w:val="Style_5"/>
    <w:link w:val="Style_2_ch"/>
    <w:uiPriority w:val="9"/>
    <w:qFormat/>
    <w:pPr>
      <w:keepNext w:val="1"/>
      <w:ind/>
      <w:jc w:val="center"/>
      <w:outlineLvl w:val="2"/>
    </w:pPr>
    <w:rPr>
      <w:rFonts w:ascii="Arial" w:hAnsi="Arial"/>
      <w:sz w:val="28"/>
    </w:rPr>
  </w:style>
  <w:style w:styleId="Style_2_ch" w:type="character">
    <w:name w:val="heading 3"/>
    <w:basedOn w:val="Style_5_ch"/>
    <w:link w:val="Style_2"/>
    <w:rPr>
      <w:rFonts w:ascii="Arial" w:hAnsi="Arial"/>
      <w:sz w:val="28"/>
    </w:rPr>
  </w:style>
  <w:style w:styleId="Style_21" w:type="paragraph">
    <w:name w:val="xl107"/>
    <w:basedOn w:val="Style_5"/>
    <w:link w:val="Style_21_ch"/>
    <w:pPr>
      <w:spacing w:afterAutospacing="on" w:beforeAutospacing="on"/>
      <w:ind/>
      <w:jc w:val="right"/>
    </w:pPr>
    <w:rPr>
      <w:color w:val="000000"/>
      <w:sz w:val="28"/>
    </w:rPr>
  </w:style>
  <w:style w:styleId="Style_21_ch" w:type="character">
    <w:name w:val="xl107"/>
    <w:basedOn w:val="Style_5_ch"/>
    <w:link w:val="Style_21"/>
    <w:rPr>
      <w:color w:val="000000"/>
      <w:sz w:val="28"/>
    </w:rPr>
  </w:style>
  <w:style w:styleId="Style_22" w:type="paragraph">
    <w:name w:val="xl93"/>
    <w:basedOn w:val="Style_5"/>
    <w:link w:val="Style_22_ch"/>
    <w:pPr>
      <w:spacing w:afterAutospacing="on" w:beforeAutospacing="on"/>
      <w:ind/>
    </w:pPr>
  </w:style>
  <w:style w:styleId="Style_22_ch" w:type="character">
    <w:name w:val="xl93"/>
    <w:basedOn w:val="Style_5_ch"/>
    <w:link w:val="Style_22"/>
  </w:style>
  <w:style w:styleId="Style_23" w:type="paragraph">
    <w:name w:val="xl67"/>
    <w:basedOn w:val="Style_5"/>
    <w:link w:val="Style_23_ch"/>
    <w:pPr>
      <w:spacing w:afterAutospacing="on" w:beforeAutospacing="on"/>
      <w:ind/>
      <w:jc w:val="center"/>
    </w:pPr>
    <w:rPr>
      <w:b w:val="1"/>
    </w:rPr>
  </w:style>
  <w:style w:styleId="Style_23_ch" w:type="character">
    <w:name w:val="xl67"/>
    <w:basedOn w:val="Style_5_ch"/>
    <w:link w:val="Style_23"/>
    <w:rPr>
      <w:b w:val="1"/>
    </w:rPr>
  </w:style>
  <w:style w:styleId="Style_24" w:type="paragraph">
    <w:name w:val="xl106"/>
    <w:basedOn w:val="Style_5"/>
    <w:link w:val="Style_24_ch"/>
    <w:pPr>
      <w:spacing w:afterAutospacing="on" w:beforeAutospacing="on"/>
      <w:ind/>
      <w:jc w:val="center"/>
    </w:pPr>
    <w:rPr>
      <w:sz w:val="28"/>
    </w:rPr>
  </w:style>
  <w:style w:styleId="Style_24_ch" w:type="character">
    <w:name w:val="xl106"/>
    <w:basedOn w:val="Style_5_ch"/>
    <w:link w:val="Style_24"/>
    <w:rPr>
      <w:sz w:val="28"/>
    </w:rPr>
  </w:style>
  <w:style w:styleId="Style_25" w:type="paragraph">
    <w:name w:val="xl100"/>
    <w:basedOn w:val="Style_5"/>
    <w:link w:val="Style_25_ch"/>
    <w:pPr>
      <w:spacing w:afterAutospacing="on" w:beforeAutospacing="on"/>
      <w:ind/>
    </w:pPr>
    <w:rPr>
      <w:b w:val="1"/>
      <w:sz w:val="18"/>
    </w:rPr>
  </w:style>
  <w:style w:styleId="Style_25_ch" w:type="character">
    <w:name w:val="xl100"/>
    <w:basedOn w:val="Style_5_ch"/>
    <w:link w:val="Style_25"/>
    <w:rPr>
      <w:b w:val="1"/>
      <w:sz w:val="18"/>
    </w:rPr>
  </w:style>
  <w:style w:styleId="Style_26" w:type="paragraph">
    <w:name w:val="xl99"/>
    <w:basedOn w:val="Style_5"/>
    <w:link w:val="Style_26_ch"/>
    <w:pPr>
      <w:spacing w:afterAutospacing="on" w:beforeAutospacing="on"/>
      <w:ind/>
    </w:pPr>
    <w:rPr>
      <w:sz w:val="18"/>
    </w:rPr>
  </w:style>
  <w:style w:styleId="Style_26_ch" w:type="character">
    <w:name w:val="xl99"/>
    <w:basedOn w:val="Style_5_ch"/>
    <w:link w:val="Style_26"/>
    <w:rPr>
      <w:sz w:val="18"/>
    </w:rPr>
  </w:style>
  <w:style w:styleId="Style_27" w:type="paragraph">
    <w:name w:val="xl90"/>
    <w:basedOn w:val="Style_5"/>
    <w:link w:val="Style_27_ch"/>
    <w:pPr>
      <w:spacing w:afterAutospacing="on" w:beforeAutospacing="on"/>
      <w:ind/>
    </w:pPr>
    <w:rPr>
      <w:color w:val="000000"/>
      <w:sz w:val="18"/>
    </w:rPr>
  </w:style>
  <w:style w:styleId="Style_27_ch" w:type="character">
    <w:name w:val="xl90"/>
    <w:basedOn w:val="Style_5_ch"/>
    <w:link w:val="Style_27"/>
    <w:rPr>
      <w:color w:val="000000"/>
      <w:sz w:val="18"/>
    </w:rPr>
  </w:style>
  <w:style w:styleId="Style_28" w:type="paragraph">
    <w:name w:val="xl70"/>
    <w:basedOn w:val="Style_5"/>
    <w:link w:val="Style_28_ch"/>
    <w:pPr>
      <w:spacing w:afterAutospacing="on" w:beforeAutospacing="on"/>
      <w:ind/>
      <w:jc w:val="center"/>
    </w:pPr>
    <w:rPr>
      <w:rFonts w:ascii="Arial Cyr" w:hAnsi="Arial Cyr"/>
      <w:color w:val="000000"/>
      <w:sz w:val="18"/>
    </w:rPr>
  </w:style>
  <w:style w:styleId="Style_28_ch" w:type="character">
    <w:name w:val="xl70"/>
    <w:basedOn w:val="Style_5_ch"/>
    <w:link w:val="Style_28"/>
    <w:rPr>
      <w:rFonts w:ascii="Arial Cyr" w:hAnsi="Arial Cyr"/>
      <w:color w:val="000000"/>
      <w:sz w:val="18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xl91"/>
    <w:basedOn w:val="Style_5"/>
    <w:link w:val="Style_30_ch"/>
    <w:pPr>
      <w:spacing w:afterAutospacing="on" w:beforeAutospacing="on"/>
      <w:ind/>
    </w:pPr>
  </w:style>
  <w:style w:styleId="Style_30_ch" w:type="character">
    <w:name w:val="xl91"/>
    <w:basedOn w:val="Style_5_ch"/>
    <w:link w:val="Style_30"/>
  </w:style>
  <w:style w:styleId="Style_31" w:type="paragraph">
    <w:name w:val="xl95"/>
    <w:basedOn w:val="Style_5"/>
    <w:link w:val="Style_31_ch"/>
    <w:pPr>
      <w:spacing w:afterAutospacing="on" w:beforeAutospacing="on"/>
      <w:ind/>
    </w:pPr>
    <w:rPr>
      <w:color w:val="FFFFFF"/>
    </w:rPr>
  </w:style>
  <w:style w:styleId="Style_31_ch" w:type="character">
    <w:name w:val="xl95"/>
    <w:basedOn w:val="Style_5_ch"/>
    <w:link w:val="Style_31"/>
    <w:rPr>
      <w:color w:val="FFFFFF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xl74"/>
    <w:basedOn w:val="Style_5"/>
    <w:link w:val="Style_33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33_ch" w:type="character">
    <w:name w:val="xl74"/>
    <w:basedOn w:val="Style_5_ch"/>
    <w:link w:val="Style_33"/>
    <w:rPr>
      <w:b w:val="1"/>
      <w:color w:val="000000"/>
      <w:sz w:val="18"/>
    </w:rPr>
  </w:style>
  <w:style w:styleId="Style_34" w:type="paragraph">
    <w:name w:val="xl72"/>
    <w:basedOn w:val="Style_5"/>
    <w:link w:val="Style_34_ch"/>
    <w:pPr>
      <w:spacing w:afterAutospacing="on" w:beforeAutospacing="on"/>
      <w:ind/>
      <w:jc w:val="center"/>
    </w:pPr>
    <w:rPr>
      <w:b w:val="1"/>
      <w:color w:val="000000"/>
      <w:sz w:val="20"/>
    </w:rPr>
  </w:style>
  <w:style w:styleId="Style_34_ch" w:type="character">
    <w:name w:val="xl72"/>
    <w:basedOn w:val="Style_5_ch"/>
    <w:link w:val="Style_34"/>
    <w:rPr>
      <w:b w:val="1"/>
      <w:color w:val="000000"/>
      <w:sz w:val="20"/>
    </w:rPr>
  </w:style>
  <w:style w:styleId="Style_35" w:type="paragraph">
    <w:name w:val="xl84"/>
    <w:basedOn w:val="Style_5"/>
    <w:link w:val="Style_35_ch"/>
    <w:pPr>
      <w:spacing w:afterAutospacing="on" w:beforeAutospacing="on"/>
      <w:ind/>
      <w:jc w:val="right"/>
    </w:pPr>
    <w:rPr>
      <w:color w:val="000000"/>
      <w:sz w:val="18"/>
    </w:rPr>
  </w:style>
  <w:style w:styleId="Style_35_ch" w:type="character">
    <w:name w:val="xl84"/>
    <w:basedOn w:val="Style_5_ch"/>
    <w:link w:val="Style_35"/>
    <w:rPr>
      <w:color w:val="000000"/>
      <w:sz w:val="18"/>
    </w:rPr>
  </w:style>
  <w:style w:styleId="Style_36" w:type="paragraph">
    <w:name w:val="xl88"/>
    <w:basedOn w:val="Style_5"/>
    <w:link w:val="Style_36_ch"/>
    <w:pPr>
      <w:spacing w:afterAutospacing="on" w:beforeAutospacing="on"/>
      <w:ind/>
      <w:jc w:val="center"/>
    </w:pPr>
    <w:rPr>
      <w:sz w:val="18"/>
    </w:rPr>
  </w:style>
  <w:style w:styleId="Style_36_ch" w:type="character">
    <w:name w:val="xl88"/>
    <w:basedOn w:val="Style_5_ch"/>
    <w:link w:val="Style_36"/>
    <w:rPr>
      <w:sz w:val="18"/>
    </w:rPr>
  </w:style>
  <w:style w:styleId="Style_37" w:type="paragraph">
    <w:name w:val="xl108"/>
    <w:basedOn w:val="Style_5"/>
    <w:link w:val="Style_37_ch"/>
    <w:pPr>
      <w:spacing w:afterAutospacing="on" w:beforeAutospacing="on"/>
      <w:ind/>
    </w:pPr>
    <w:rPr>
      <w:sz w:val="28"/>
    </w:rPr>
  </w:style>
  <w:style w:styleId="Style_37_ch" w:type="character">
    <w:name w:val="xl108"/>
    <w:basedOn w:val="Style_5_ch"/>
    <w:link w:val="Style_37"/>
    <w:rPr>
      <w:sz w:val="28"/>
    </w:rPr>
  </w:style>
  <w:style w:styleId="Style_38" w:type="paragraph">
    <w:name w:val="font6"/>
    <w:basedOn w:val="Style_5"/>
    <w:link w:val="Style_38_ch"/>
    <w:pPr>
      <w:spacing w:afterAutospacing="on" w:beforeAutospacing="on"/>
      <w:ind/>
    </w:pPr>
    <w:rPr>
      <w:sz w:val="28"/>
    </w:rPr>
  </w:style>
  <w:style w:styleId="Style_38_ch" w:type="character">
    <w:name w:val="font6"/>
    <w:basedOn w:val="Style_5_ch"/>
    <w:link w:val="Style_38"/>
    <w:rPr>
      <w:sz w:val="28"/>
    </w:rPr>
  </w:style>
  <w:style w:styleId="Style_39" w:type="paragraph">
    <w:name w:val="xl96"/>
    <w:basedOn w:val="Style_5"/>
    <w:link w:val="Style_39_ch"/>
    <w:pPr>
      <w:spacing w:afterAutospacing="on" w:beforeAutospacing="on"/>
      <w:ind/>
    </w:pPr>
    <w:rPr>
      <w:sz w:val="28"/>
    </w:rPr>
  </w:style>
  <w:style w:styleId="Style_39_ch" w:type="character">
    <w:name w:val="xl96"/>
    <w:basedOn w:val="Style_5_ch"/>
    <w:link w:val="Style_39"/>
    <w:rPr>
      <w:sz w:val="28"/>
    </w:rPr>
  </w:style>
  <w:style w:styleId="Style_40" w:type="paragraph">
    <w:name w:val="xl98"/>
    <w:basedOn w:val="Style_5"/>
    <w:link w:val="Style_40_ch"/>
    <w:pPr>
      <w:spacing w:afterAutospacing="on" w:beforeAutospacing="on"/>
      <w:ind/>
    </w:pPr>
    <w:rPr>
      <w:color w:val="000000"/>
      <w:sz w:val="18"/>
    </w:rPr>
  </w:style>
  <w:style w:styleId="Style_40_ch" w:type="character">
    <w:name w:val="xl98"/>
    <w:basedOn w:val="Style_5_ch"/>
    <w:link w:val="Style_40"/>
    <w:rPr>
      <w:color w:val="000000"/>
      <w:sz w:val="18"/>
    </w:rPr>
  </w:style>
  <w:style w:styleId="Style_41" w:type="paragraph">
    <w:name w:val="FollowedHyperlink"/>
    <w:basedOn w:val="Style_42"/>
    <w:link w:val="Style_41_ch"/>
    <w:rPr>
      <w:color w:val="954F72"/>
      <w:u w:val="single"/>
    </w:rPr>
  </w:style>
  <w:style w:styleId="Style_41_ch" w:type="character">
    <w:name w:val="FollowedHyperlink"/>
    <w:basedOn w:val="Style_42_ch"/>
    <w:link w:val="Style_41"/>
    <w:rPr>
      <w:color w:val="954F72"/>
      <w:u w:val="single"/>
    </w:rPr>
  </w:style>
  <w:style w:styleId="Style_43" w:type="paragraph">
    <w:name w:val="toc 3"/>
    <w:next w:val="Style_5"/>
    <w:link w:val="Style_43_ch"/>
    <w:uiPriority w:val="39"/>
    <w:pPr>
      <w:ind w:firstLine="0" w:left="400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xl66"/>
    <w:basedOn w:val="Style_5"/>
    <w:link w:val="Style_44_ch"/>
    <w:pPr>
      <w:spacing w:afterAutospacing="on" w:beforeAutospacing="on"/>
      <w:ind/>
    </w:pPr>
    <w:rPr>
      <w:color w:val="000000"/>
    </w:rPr>
  </w:style>
  <w:style w:styleId="Style_44_ch" w:type="character">
    <w:name w:val="xl66"/>
    <w:basedOn w:val="Style_5_ch"/>
    <w:link w:val="Style_44"/>
    <w:rPr>
      <w:color w:val="000000"/>
    </w:rPr>
  </w:style>
  <w:style w:styleId="Style_45" w:type="paragraph">
    <w:name w:val="xl81"/>
    <w:basedOn w:val="Style_5"/>
    <w:link w:val="Style_45_ch"/>
    <w:pPr>
      <w:spacing w:afterAutospacing="on" w:beforeAutospacing="on"/>
      <w:ind/>
    </w:pPr>
    <w:rPr>
      <w:color w:val="000000"/>
      <w:sz w:val="18"/>
    </w:rPr>
  </w:style>
  <w:style w:styleId="Style_45_ch" w:type="character">
    <w:name w:val="xl81"/>
    <w:basedOn w:val="Style_5_ch"/>
    <w:link w:val="Style_45"/>
    <w:rPr>
      <w:color w:val="000000"/>
      <w:sz w:val="18"/>
    </w:rPr>
  </w:style>
  <w:style w:styleId="Style_46" w:type="paragraph">
    <w:name w:val="xl65"/>
    <w:basedOn w:val="Style_5"/>
    <w:link w:val="Style_46_ch"/>
    <w:pPr>
      <w:spacing w:afterAutospacing="on" w:beforeAutospacing="on"/>
      <w:ind/>
      <w:jc w:val="center"/>
    </w:pPr>
    <w:rPr>
      <w:color w:val="000000"/>
    </w:rPr>
  </w:style>
  <w:style w:styleId="Style_46_ch" w:type="character">
    <w:name w:val="xl65"/>
    <w:basedOn w:val="Style_5_ch"/>
    <w:link w:val="Style_46"/>
    <w:rPr>
      <w:color w:val="000000"/>
    </w:rPr>
  </w:style>
  <w:style w:styleId="Style_47" w:type="paragraph">
    <w:name w:val="xl86"/>
    <w:basedOn w:val="Style_5"/>
    <w:link w:val="Style_47_ch"/>
    <w:pPr>
      <w:spacing w:afterAutospacing="on" w:beforeAutospacing="on"/>
      <w:ind/>
      <w:jc w:val="right"/>
    </w:pPr>
    <w:rPr>
      <w:color w:val="000000"/>
      <w:sz w:val="18"/>
    </w:rPr>
  </w:style>
  <w:style w:styleId="Style_47_ch" w:type="character">
    <w:name w:val="xl86"/>
    <w:basedOn w:val="Style_5_ch"/>
    <w:link w:val="Style_47"/>
    <w:rPr>
      <w:color w:val="000000"/>
      <w:sz w:val="18"/>
    </w:rPr>
  </w:style>
  <w:style w:styleId="Style_48" w:type="paragraph">
    <w:name w:val="xl105"/>
    <w:basedOn w:val="Style_5"/>
    <w:link w:val="Style_48_ch"/>
    <w:pPr>
      <w:spacing w:afterAutospacing="on" w:beforeAutospacing="on"/>
      <w:ind/>
      <w:jc w:val="center"/>
    </w:pPr>
  </w:style>
  <w:style w:styleId="Style_48_ch" w:type="character">
    <w:name w:val="xl105"/>
    <w:basedOn w:val="Style_5_ch"/>
    <w:link w:val="Style_48"/>
  </w:style>
  <w:style w:styleId="Style_49" w:type="paragraph">
    <w:name w:val="heading 5"/>
    <w:next w:val="Style_5"/>
    <w:link w:val="Style_4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9_ch" w:type="character">
    <w:name w:val="heading 5"/>
    <w:link w:val="Style_49"/>
    <w:rPr>
      <w:rFonts w:ascii="XO Thames" w:hAnsi="XO Thames"/>
      <w:b w:val="1"/>
      <w:sz w:val="22"/>
    </w:rPr>
  </w:style>
  <w:style w:styleId="Style_50" w:type="paragraph">
    <w:name w:val="heading 1"/>
    <w:next w:val="Style_5"/>
    <w:link w:val="Style_5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0_ch" w:type="character">
    <w:name w:val="heading 1"/>
    <w:link w:val="Style_50"/>
    <w:rPr>
      <w:rFonts w:ascii="XO Thames" w:hAnsi="XO Thames"/>
      <w:b w:val="1"/>
      <w:sz w:val="32"/>
    </w:rPr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link w:val="Style_52_ch"/>
    <w:pPr>
      <w:ind w:firstLine="851" w:left="0"/>
      <w:jc w:val="both"/>
    </w:pPr>
    <w:rPr>
      <w:rFonts w:ascii="XO Thames" w:hAnsi="XO Thames"/>
      <w:sz w:val="22"/>
    </w:rPr>
  </w:style>
  <w:style w:styleId="Style_52_ch" w:type="character">
    <w:name w:val="Footnote"/>
    <w:link w:val="Style_52"/>
    <w:rPr>
      <w:rFonts w:ascii="XO Thames" w:hAnsi="XO Thames"/>
      <w:sz w:val="22"/>
    </w:rPr>
  </w:style>
  <w:style w:styleId="Style_53" w:type="paragraph">
    <w:name w:val="xl102"/>
    <w:basedOn w:val="Style_5"/>
    <w:link w:val="Style_53_ch"/>
    <w:pPr>
      <w:spacing w:afterAutospacing="on" w:beforeAutospacing="on"/>
      <w:ind/>
    </w:pPr>
    <w:rPr>
      <w:sz w:val="20"/>
    </w:rPr>
  </w:style>
  <w:style w:styleId="Style_53_ch" w:type="character">
    <w:name w:val="xl102"/>
    <w:basedOn w:val="Style_5_ch"/>
    <w:link w:val="Style_53"/>
    <w:rPr>
      <w:sz w:val="20"/>
    </w:rPr>
  </w:style>
  <w:style w:styleId="Style_54" w:type="paragraph">
    <w:name w:val="toc 1"/>
    <w:next w:val="Style_5"/>
    <w:link w:val="Style_54_ch"/>
    <w:uiPriority w:val="39"/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font7"/>
    <w:basedOn w:val="Style_5"/>
    <w:link w:val="Style_55_ch"/>
    <w:pPr>
      <w:spacing w:afterAutospacing="on" w:beforeAutospacing="on"/>
      <w:ind/>
    </w:pPr>
  </w:style>
  <w:style w:styleId="Style_55_ch" w:type="character">
    <w:name w:val="font7"/>
    <w:basedOn w:val="Style_5_ch"/>
    <w:link w:val="Style_55"/>
  </w:style>
  <w:style w:styleId="Style_56" w:type="paragraph">
    <w:name w:val="xl71"/>
    <w:basedOn w:val="Style_5"/>
    <w:link w:val="Style_56_ch"/>
    <w:pPr>
      <w:spacing w:afterAutospacing="on" w:beforeAutospacing="on"/>
      <w:ind/>
      <w:jc w:val="center"/>
    </w:pPr>
    <w:rPr>
      <w:b w:val="1"/>
      <w:color w:val="000000"/>
      <w:sz w:val="20"/>
    </w:rPr>
  </w:style>
  <w:style w:styleId="Style_56_ch" w:type="character">
    <w:name w:val="xl71"/>
    <w:basedOn w:val="Style_5_ch"/>
    <w:link w:val="Style_56"/>
    <w:rPr>
      <w:b w:val="1"/>
      <w:color w:val="000000"/>
      <w:sz w:val="20"/>
    </w:rPr>
  </w:style>
  <w:style w:styleId="Style_57" w:type="paragraph">
    <w:name w:val="Header and Footer"/>
    <w:link w:val="Style_57_ch"/>
    <w:pPr>
      <w:ind/>
      <w:jc w:val="both"/>
    </w:pPr>
    <w:rPr>
      <w:rFonts w:ascii="XO Thames" w:hAnsi="XO Thames"/>
    </w:rPr>
  </w:style>
  <w:style w:styleId="Style_57_ch" w:type="character">
    <w:name w:val="Header and Footer"/>
    <w:link w:val="Style_57"/>
    <w:rPr>
      <w:rFonts w:ascii="XO Thames" w:hAnsi="XO Thames"/>
    </w:rPr>
  </w:style>
  <w:style w:styleId="Style_58" w:type="paragraph">
    <w:name w:val="header"/>
    <w:basedOn w:val="Style_5"/>
    <w:link w:val="Style_58_ch"/>
    <w:pPr>
      <w:tabs>
        <w:tab w:leader="none" w:pos="4677" w:val="center"/>
        <w:tab w:leader="none" w:pos="9355" w:val="right"/>
      </w:tabs>
      <w:ind/>
    </w:pPr>
  </w:style>
  <w:style w:styleId="Style_58_ch" w:type="character">
    <w:name w:val="header"/>
    <w:basedOn w:val="Style_5_ch"/>
    <w:link w:val="Style_58"/>
  </w:style>
  <w:style w:styleId="Style_59" w:type="paragraph">
    <w:name w:val="xl75"/>
    <w:basedOn w:val="Style_5"/>
    <w:link w:val="Style_59_ch"/>
    <w:pPr>
      <w:spacing w:afterAutospacing="on" w:beforeAutospacing="on"/>
      <w:ind/>
    </w:pPr>
    <w:rPr>
      <w:color w:val="000000"/>
      <w:sz w:val="20"/>
    </w:rPr>
  </w:style>
  <w:style w:styleId="Style_59_ch" w:type="character">
    <w:name w:val="xl75"/>
    <w:basedOn w:val="Style_5_ch"/>
    <w:link w:val="Style_59"/>
    <w:rPr>
      <w:color w:val="000000"/>
      <w:sz w:val="20"/>
    </w:rPr>
  </w:style>
  <w:style w:styleId="Style_60" w:type="paragraph">
    <w:name w:val="toc 9"/>
    <w:next w:val="Style_5"/>
    <w:link w:val="Style_60_ch"/>
    <w:uiPriority w:val="39"/>
    <w:pPr>
      <w:ind w:firstLine="0" w:left="1600"/>
    </w:pPr>
    <w:rPr>
      <w:rFonts w:ascii="XO Thames" w:hAnsi="XO Thames"/>
      <w:sz w:val="28"/>
    </w:rPr>
  </w:style>
  <w:style w:styleId="Style_60_ch" w:type="character">
    <w:name w:val="toc 9"/>
    <w:link w:val="Style_60"/>
    <w:rPr>
      <w:rFonts w:ascii="XO Thames" w:hAnsi="XO Thames"/>
      <w:sz w:val="28"/>
    </w:rPr>
  </w:style>
  <w:style w:styleId="Style_61" w:type="paragraph">
    <w:name w:val="Основной текст с отступом 31"/>
    <w:basedOn w:val="Style_5"/>
    <w:link w:val="Style_61_ch"/>
    <w:pPr>
      <w:ind w:firstLine="798" w:left="0"/>
    </w:pPr>
    <w:rPr>
      <w:sz w:val="28"/>
    </w:rPr>
  </w:style>
  <w:style w:styleId="Style_61_ch" w:type="character">
    <w:name w:val="Основной текст с отступом 31"/>
    <w:basedOn w:val="Style_5_ch"/>
    <w:link w:val="Style_61"/>
    <w:rPr>
      <w:sz w:val="28"/>
    </w:rPr>
  </w:style>
  <w:style w:styleId="Style_62" w:type="paragraph">
    <w:name w:val="toc 8"/>
    <w:next w:val="Style_5"/>
    <w:link w:val="Style_62_ch"/>
    <w:uiPriority w:val="39"/>
    <w:pPr>
      <w:ind w:firstLine="0" w:left="1400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63" w:type="paragraph">
    <w:name w:val="xl111"/>
    <w:basedOn w:val="Style_5"/>
    <w:link w:val="Style_63_ch"/>
    <w:pPr>
      <w:spacing w:afterAutospacing="on" w:beforeAutospacing="on"/>
      <w:ind/>
      <w:jc w:val="center"/>
    </w:pPr>
    <w:rPr>
      <w:b w:val="1"/>
      <w:color w:val="000000"/>
      <w:sz w:val="20"/>
    </w:rPr>
  </w:style>
  <w:style w:styleId="Style_63_ch" w:type="character">
    <w:name w:val="xl111"/>
    <w:basedOn w:val="Style_5_ch"/>
    <w:link w:val="Style_63"/>
    <w:rPr>
      <w:b w:val="1"/>
      <w:color w:val="000000"/>
      <w:sz w:val="20"/>
    </w:rPr>
  </w:style>
  <w:style w:styleId="Style_64" w:type="paragraph">
    <w:name w:val="xl63"/>
    <w:basedOn w:val="Style_5"/>
    <w:link w:val="Style_64_ch"/>
    <w:pPr>
      <w:spacing w:afterAutospacing="on" w:beforeAutospacing="on"/>
      <w:ind/>
      <w:jc w:val="center"/>
    </w:pPr>
    <w:rPr>
      <w:b w:val="1"/>
    </w:rPr>
  </w:style>
  <w:style w:styleId="Style_64_ch" w:type="character">
    <w:name w:val="xl63"/>
    <w:basedOn w:val="Style_5_ch"/>
    <w:link w:val="Style_64"/>
    <w:rPr>
      <w:b w:val="1"/>
    </w:rPr>
  </w:style>
  <w:style w:styleId="Style_65" w:type="paragraph">
    <w:name w:val="xl79"/>
    <w:basedOn w:val="Style_5"/>
    <w:link w:val="Style_65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65_ch" w:type="character">
    <w:name w:val="xl79"/>
    <w:basedOn w:val="Style_5_ch"/>
    <w:link w:val="Style_65"/>
    <w:rPr>
      <w:b w:val="1"/>
      <w:color w:val="000000"/>
      <w:sz w:val="18"/>
    </w:rPr>
  </w:style>
  <w:style w:styleId="Style_66" w:type="paragraph">
    <w:name w:val="xl77"/>
    <w:basedOn w:val="Style_5"/>
    <w:link w:val="Style_66_ch"/>
    <w:pPr>
      <w:spacing w:afterAutospacing="on" w:beforeAutospacing="on"/>
      <w:ind/>
      <w:jc w:val="center"/>
    </w:pPr>
    <w:rPr>
      <w:b w:val="1"/>
      <w:color w:val="000000"/>
    </w:rPr>
  </w:style>
  <w:style w:styleId="Style_66_ch" w:type="character">
    <w:name w:val="xl77"/>
    <w:basedOn w:val="Style_5_ch"/>
    <w:link w:val="Style_66"/>
    <w:rPr>
      <w:b w:val="1"/>
      <w:color w:val="000000"/>
    </w:rPr>
  </w:style>
  <w:style w:styleId="Style_67" w:type="paragraph">
    <w:name w:val="toc 5"/>
    <w:next w:val="Style_5"/>
    <w:link w:val="Style_67_ch"/>
    <w:uiPriority w:val="39"/>
    <w:pPr>
      <w:ind w:firstLine="0" w:left="800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8" w:type="paragraph">
    <w:name w:val="xl83"/>
    <w:basedOn w:val="Style_5"/>
    <w:link w:val="Style_68_ch"/>
    <w:pPr>
      <w:spacing w:afterAutospacing="on" w:beforeAutospacing="on"/>
      <w:ind/>
    </w:pPr>
    <w:rPr>
      <w:rFonts w:ascii="Arial Cyr" w:hAnsi="Arial Cyr"/>
      <w:color w:val="000000"/>
      <w:sz w:val="20"/>
    </w:rPr>
  </w:style>
  <w:style w:styleId="Style_68_ch" w:type="character">
    <w:name w:val="xl83"/>
    <w:basedOn w:val="Style_5_ch"/>
    <w:link w:val="Style_68"/>
    <w:rPr>
      <w:rFonts w:ascii="Arial Cyr" w:hAnsi="Arial Cyr"/>
      <w:color w:val="000000"/>
      <w:sz w:val="20"/>
    </w:rPr>
  </w:style>
  <w:style w:styleId="Style_69" w:type="paragraph">
    <w:name w:val="Номер страницы1"/>
    <w:basedOn w:val="Style_32"/>
    <w:link w:val="Style_69_ch"/>
  </w:style>
  <w:style w:styleId="Style_69_ch" w:type="character">
    <w:name w:val="Номер страницы1"/>
    <w:basedOn w:val="Style_32_ch"/>
    <w:link w:val="Style_69"/>
  </w:style>
  <w:style w:styleId="Style_70" w:type="paragraph">
    <w:name w:val="xl80"/>
    <w:basedOn w:val="Style_5"/>
    <w:link w:val="Style_70_ch"/>
    <w:pPr>
      <w:spacing w:afterAutospacing="on" w:beforeAutospacing="on"/>
      <w:ind/>
    </w:pPr>
    <w:rPr>
      <w:b w:val="1"/>
      <w:sz w:val="18"/>
    </w:rPr>
  </w:style>
  <w:style w:styleId="Style_70_ch" w:type="character">
    <w:name w:val="xl80"/>
    <w:basedOn w:val="Style_5_ch"/>
    <w:link w:val="Style_70"/>
    <w:rPr>
      <w:b w:val="1"/>
      <w:sz w:val="18"/>
    </w:rPr>
  </w:style>
  <w:style w:styleId="Style_71" w:type="paragraph">
    <w:name w:val="xl78"/>
    <w:basedOn w:val="Style_5"/>
    <w:link w:val="Style_71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71_ch" w:type="character">
    <w:name w:val="xl78"/>
    <w:basedOn w:val="Style_5_ch"/>
    <w:link w:val="Style_71"/>
    <w:rPr>
      <w:b w:val="1"/>
      <w:color w:val="000000"/>
      <w:sz w:val="18"/>
    </w:rPr>
  </w:style>
  <w:style w:styleId="Style_72" w:type="paragraph">
    <w:name w:val="xl104"/>
    <w:basedOn w:val="Style_5"/>
    <w:link w:val="Style_72_ch"/>
    <w:pPr>
      <w:spacing w:afterAutospacing="on" w:beforeAutospacing="on"/>
      <w:ind/>
      <w:jc w:val="center"/>
    </w:pPr>
    <w:rPr>
      <w:color w:val="000000"/>
      <w:sz w:val="28"/>
    </w:rPr>
  </w:style>
  <w:style w:styleId="Style_72_ch" w:type="character">
    <w:name w:val="xl104"/>
    <w:basedOn w:val="Style_5_ch"/>
    <w:link w:val="Style_72"/>
    <w:rPr>
      <w:color w:val="000000"/>
      <w:sz w:val="28"/>
    </w:rPr>
  </w:style>
  <w:style w:styleId="Style_73" w:type="paragraph">
    <w:name w:val="xl103"/>
    <w:basedOn w:val="Style_5"/>
    <w:link w:val="Style_73_ch"/>
    <w:pPr>
      <w:spacing w:afterAutospacing="on" w:beforeAutospacing="on"/>
      <w:ind/>
    </w:pPr>
    <w:rPr>
      <w:b w:val="1"/>
      <w:color w:val="000000"/>
      <w:sz w:val="18"/>
    </w:rPr>
  </w:style>
  <w:style w:styleId="Style_73_ch" w:type="character">
    <w:name w:val="xl103"/>
    <w:basedOn w:val="Style_5_ch"/>
    <w:link w:val="Style_73"/>
    <w:rPr>
      <w:b w:val="1"/>
      <w:color w:val="000000"/>
      <w:sz w:val="18"/>
    </w:rPr>
  </w:style>
  <w:style w:styleId="Style_74" w:type="paragraph">
    <w:name w:val="Subtitle"/>
    <w:next w:val="Style_5"/>
    <w:link w:val="Style_7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4_ch" w:type="character">
    <w:name w:val="Subtitle"/>
    <w:link w:val="Style_74"/>
    <w:rPr>
      <w:rFonts w:ascii="XO Thames" w:hAnsi="XO Thames"/>
      <w:i w:val="1"/>
      <w:sz w:val="24"/>
    </w:rPr>
  </w:style>
  <w:style w:styleId="Style_75" w:type="paragraph">
    <w:name w:val="xl110"/>
    <w:basedOn w:val="Style_5"/>
    <w:link w:val="Style_75_ch"/>
    <w:pPr>
      <w:spacing w:afterAutospacing="on" w:beforeAutospacing="on"/>
      <w:ind/>
      <w:jc w:val="center"/>
    </w:pPr>
    <w:rPr>
      <w:b w:val="1"/>
      <w:color w:val="000000"/>
      <w:sz w:val="20"/>
    </w:rPr>
  </w:style>
  <w:style w:styleId="Style_75_ch" w:type="character">
    <w:name w:val="xl110"/>
    <w:basedOn w:val="Style_5_ch"/>
    <w:link w:val="Style_75"/>
    <w:rPr>
      <w:b w:val="1"/>
      <w:color w:val="000000"/>
      <w:sz w:val="20"/>
    </w:rPr>
  </w:style>
  <w:style w:styleId="Style_76" w:type="paragraph">
    <w:name w:val="Body Text"/>
    <w:basedOn w:val="Style_5"/>
    <w:link w:val="Style_76_ch"/>
    <w:pPr>
      <w:spacing w:after="120"/>
      <w:ind/>
    </w:pPr>
  </w:style>
  <w:style w:styleId="Style_76_ch" w:type="character">
    <w:name w:val="Body Text"/>
    <w:basedOn w:val="Style_5_ch"/>
    <w:link w:val="Style_76"/>
  </w:style>
  <w:style w:styleId="Style_4" w:type="paragraph">
    <w:name w:val="Title"/>
    <w:basedOn w:val="Style_5"/>
    <w:link w:val="Style_4_ch"/>
    <w:uiPriority w:val="10"/>
    <w:qFormat/>
    <w:pPr>
      <w:ind/>
      <w:jc w:val="center"/>
    </w:pPr>
    <w:rPr>
      <w:rFonts w:ascii="Arial" w:hAnsi="Arial"/>
      <w:b w:val="1"/>
      <w:sz w:val="26"/>
    </w:rPr>
  </w:style>
  <w:style w:styleId="Style_4_ch" w:type="character">
    <w:name w:val="Title"/>
    <w:basedOn w:val="Style_5_ch"/>
    <w:link w:val="Style_4"/>
    <w:rPr>
      <w:rFonts w:ascii="Arial" w:hAnsi="Arial"/>
      <w:b w:val="1"/>
      <w:sz w:val="26"/>
    </w:rPr>
  </w:style>
  <w:style w:styleId="Style_1" w:type="paragraph">
    <w:name w:val="heading 4"/>
    <w:basedOn w:val="Style_5"/>
    <w:next w:val="Style_5"/>
    <w:link w:val="Style_1_ch"/>
    <w:uiPriority w:val="9"/>
    <w:qFormat/>
    <w:pPr>
      <w:keepNext w:val="1"/>
      <w:ind/>
      <w:jc w:val="center"/>
      <w:outlineLvl w:val="3"/>
    </w:pPr>
    <w:rPr>
      <w:b w:val="1"/>
      <w:sz w:val="28"/>
    </w:rPr>
  </w:style>
  <w:style w:styleId="Style_1_ch" w:type="character">
    <w:name w:val="heading 4"/>
    <w:basedOn w:val="Style_5_ch"/>
    <w:link w:val="Style_1"/>
    <w:rPr>
      <w:b w:val="1"/>
      <w:sz w:val="28"/>
    </w:rPr>
  </w:style>
  <w:style w:styleId="Style_77" w:type="paragraph">
    <w:name w:val="xl89"/>
    <w:basedOn w:val="Style_5"/>
    <w:link w:val="Style_77_ch"/>
    <w:pPr>
      <w:spacing w:afterAutospacing="on" w:beforeAutospacing="on"/>
      <w:ind/>
    </w:pPr>
    <w:rPr>
      <w:color w:val="000000"/>
      <w:sz w:val="18"/>
    </w:rPr>
  </w:style>
  <w:style w:styleId="Style_77_ch" w:type="character">
    <w:name w:val="xl89"/>
    <w:basedOn w:val="Style_5_ch"/>
    <w:link w:val="Style_77"/>
    <w:rPr>
      <w:color w:val="000000"/>
      <w:sz w:val="18"/>
    </w:rPr>
  </w:style>
  <w:style w:styleId="Style_78" w:type="paragraph">
    <w:name w:val="heading 2"/>
    <w:next w:val="Style_5"/>
    <w:link w:val="Style_7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8_ch" w:type="character">
    <w:name w:val="heading 2"/>
    <w:link w:val="Style_78"/>
    <w:rPr>
      <w:rFonts w:ascii="XO Thames" w:hAnsi="XO Thames"/>
      <w:b w:val="1"/>
      <w:sz w:val="28"/>
    </w:rPr>
  </w:style>
  <w:style w:styleId="Style_79" w:type="paragraph">
    <w:name w:val="xl101"/>
    <w:basedOn w:val="Style_5"/>
    <w:link w:val="Style_79_ch"/>
    <w:pPr>
      <w:spacing w:afterAutospacing="on" w:beforeAutospacing="on"/>
      <w:ind/>
    </w:pPr>
    <w:rPr>
      <w:sz w:val="18"/>
    </w:rPr>
  </w:style>
  <w:style w:styleId="Style_79_ch" w:type="character">
    <w:name w:val="xl101"/>
    <w:basedOn w:val="Style_5_ch"/>
    <w:link w:val="Style_79"/>
    <w:rPr>
      <w:sz w:val="18"/>
    </w:rPr>
  </w:style>
  <w:style w:styleId="Style_80" w:type="paragraph">
    <w:name w:val="Balloon Text"/>
    <w:basedOn w:val="Style_5"/>
    <w:link w:val="Style_80_ch"/>
    <w:rPr>
      <w:rFonts w:ascii="Tahoma" w:hAnsi="Tahoma"/>
      <w:sz w:val="16"/>
    </w:rPr>
  </w:style>
  <w:style w:styleId="Style_80_ch" w:type="character">
    <w:name w:val="Balloon Text"/>
    <w:basedOn w:val="Style_5_ch"/>
    <w:link w:val="Style_80"/>
    <w:rPr>
      <w:rFonts w:ascii="Tahoma" w:hAnsi="Tahoma"/>
      <w:sz w:val="16"/>
    </w:rPr>
  </w:style>
  <w:style w:styleId="Style_81" w:type="paragraph">
    <w:name w:val="font5"/>
    <w:basedOn w:val="Style_5"/>
    <w:link w:val="Style_81_ch"/>
    <w:pPr>
      <w:spacing w:afterAutospacing="on" w:beforeAutospacing="on"/>
      <w:ind/>
    </w:pPr>
    <w:rPr>
      <w:b w:val="1"/>
      <w:color w:val="000000"/>
      <w:sz w:val="18"/>
    </w:rPr>
  </w:style>
  <w:style w:styleId="Style_81_ch" w:type="character">
    <w:name w:val="font5"/>
    <w:basedOn w:val="Style_5_ch"/>
    <w:link w:val="Style_81"/>
    <w:rPr>
      <w:b w:val="1"/>
      <w:color w:val="000000"/>
      <w:sz w:val="18"/>
    </w:rPr>
  </w:style>
  <w:style w:styleId="Style_82" w:type="paragraph">
    <w:name w:val="xl94"/>
    <w:basedOn w:val="Style_5"/>
    <w:link w:val="Style_82_ch"/>
    <w:pPr>
      <w:spacing w:afterAutospacing="on" w:beforeAutospacing="on"/>
      <w:ind/>
    </w:pPr>
    <w:rPr>
      <w:sz w:val="28"/>
    </w:rPr>
  </w:style>
  <w:style w:styleId="Style_82_ch" w:type="character">
    <w:name w:val="xl94"/>
    <w:basedOn w:val="Style_5_ch"/>
    <w:link w:val="Style_82"/>
    <w:rPr>
      <w:sz w:val="28"/>
    </w:rPr>
  </w:style>
  <w:style w:styleId="Style_83" w:type="paragraph">
    <w:name w:val="xl87"/>
    <w:basedOn w:val="Style_5"/>
    <w:link w:val="Style_83_ch"/>
    <w:pPr>
      <w:spacing w:afterAutospacing="on" w:beforeAutospacing="on"/>
      <w:ind/>
      <w:jc w:val="right"/>
    </w:pPr>
    <w:rPr>
      <w:color w:val="000000"/>
      <w:sz w:val="18"/>
    </w:rPr>
  </w:style>
  <w:style w:styleId="Style_83_ch" w:type="character">
    <w:name w:val="xl87"/>
    <w:basedOn w:val="Style_5_ch"/>
    <w:link w:val="Style_83"/>
    <w:rPr>
      <w:color w:val="000000"/>
      <w:sz w:val="1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2023-12-26T13:28:31Z</dcterms:modified>
</cp:coreProperties>
</file>