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E5" w:rsidRPr="00E44BE5" w:rsidRDefault="00E44BE5" w:rsidP="00E44BE5">
      <w:pPr>
        <w:pStyle w:val="a3"/>
        <w:shd w:val="clear" w:color="auto" w:fill="FFFFFF"/>
        <w:spacing w:before="0" w:beforeAutospacing="0" w:after="0" w:afterAutospacing="0"/>
        <w:jc w:val="center"/>
        <w:rPr>
          <w:rStyle w:val="a4"/>
          <w:b/>
          <w:i w:val="0"/>
          <w:iCs w:val="0"/>
          <w:color w:val="2B2E33"/>
          <w:spacing w:val="-3"/>
          <w:sz w:val="32"/>
          <w:szCs w:val="28"/>
        </w:rPr>
      </w:pPr>
      <w:r w:rsidRPr="00E44BE5">
        <w:rPr>
          <w:rStyle w:val="a4"/>
          <w:b/>
          <w:i w:val="0"/>
          <w:iCs w:val="0"/>
          <w:color w:val="2B2E33"/>
          <w:spacing w:val="-3"/>
          <w:sz w:val="32"/>
          <w:szCs w:val="28"/>
        </w:rPr>
        <w:t>Пресс-релиз Банка России</w:t>
      </w:r>
    </w:p>
    <w:p w:rsidR="00E44BE5" w:rsidRDefault="00E44BE5" w:rsidP="00E44BE5">
      <w:pPr>
        <w:pStyle w:val="a3"/>
        <w:shd w:val="clear" w:color="auto" w:fill="FFFFFF"/>
        <w:spacing w:before="0" w:beforeAutospacing="0" w:after="0" w:afterAutospacing="0"/>
        <w:ind w:firstLine="709"/>
        <w:jc w:val="both"/>
        <w:rPr>
          <w:rStyle w:val="a4"/>
          <w:i w:val="0"/>
          <w:iCs w:val="0"/>
          <w:color w:val="2B2E33"/>
          <w:spacing w:val="-3"/>
          <w:sz w:val="28"/>
          <w:szCs w:val="28"/>
        </w:rPr>
      </w:pP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rStyle w:val="a4"/>
          <w:i w:val="0"/>
          <w:iCs w:val="0"/>
          <w:color w:val="2B2E33"/>
          <w:spacing w:val="-3"/>
          <w:sz w:val="28"/>
          <w:szCs w:val="28"/>
        </w:rPr>
        <w:t>Совет директоров Банка России 19 марта 2021 года принял решение повысить </w:t>
      </w:r>
      <w:hyperlink r:id="rId6" w:anchor="a_35860file" w:tgtFrame="_blank" w:history="1">
        <w:r w:rsidRPr="00E44BE5">
          <w:rPr>
            <w:rStyle w:val="a4"/>
            <w:i w:val="0"/>
            <w:color w:val="2B2E33"/>
            <w:sz w:val="28"/>
            <w:szCs w:val="28"/>
          </w:rPr>
          <w:t>ключевую ставку</w:t>
        </w:r>
      </w:hyperlink>
      <w:r w:rsidRPr="00E44BE5">
        <w:rPr>
          <w:rStyle w:val="a4"/>
          <w:i w:val="0"/>
          <w:iCs w:val="0"/>
          <w:color w:val="2B2E33"/>
          <w:spacing w:val="-3"/>
          <w:sz w:val="28"/>
          <w:szCs w:val="28"/>
        </w:rPr>
        <w:t> на 25 </w:t>
      </w:r>
      <w:proofErr w:type="spellStart"/>
      <w:r w:rsidRPr="00E44BE5">
        <w:rPr>
          <w:rStyle w:val="a4"/>
          <w:i w:val="0"/>
          <w:iCs w:val="0"/>
          <w:color w:val="2B2E33"/>
          <w:spacing w:val="-3"/>
          <w:sz w:val="28"/>
          <w:szCs w:val="28"/>
        </w:rPr>
        <w:t>б.п</w:t>
      </w:r>
      <w:proofErr w:type="spellEnd"/>
      <w:r w:rsidRPr="00E44BE5">
        <w:rPr>
          <w:rStyle w:val="a4"/>
          <w:i w:val="0"/>
          <w:iCs w:val="0"/>
          <w:color w:val="2B2E33"/>
          <w:spacing w:val="-3"/>
          <w:sz w:val="28"/>
          <w:szCs w:val="28"/>
        </w:rPr>
        <w:t xml:space="preserve">., до 4,50% годовых. Темп роста потребительских цен в I квартале складывается выше прогноза Банка России. Восстановление внутреннего спроса приобретает устойчивость и происходит быстрее, чем ожидалось ранее, в ряде секторов опережая темпы наращивания выпуска. Ожидания по внешнему спросу также улучшаются на фоне дополнительных мер бюджетной поддержки в ряде стран и увеличения темпов вакцинации населения. Инфляционные ожидания населения и бизнеса остаются на повышенном уровне. Баланс рисков сместился в сторону </w:t>
      </w:r>
      <w:proofErr w:type="spellStart"/>
      <w:r w:rsidRPr="00E44BE5">
        <w:rPr>
          <w:rStyle w:val="a4"/>
          <w:i w:val="0"/>
          <w:iCs w:val="0"/>
          <w:color w:val="2B2E33"/>
          <w:spacing w:val="-3"/>
          <w:sz w:val="28"/>
          <w:szCs w:val="28"/>
        </w:rPr>
        <w:t>проинфляционных</w:t>
      </w:r>
      <w:proofErr w:type="spellEnd"/>
      <w:r w:rsidRPr="00E44BE5">
        <w:rPr>
          <w:rStyle w:val="a4"/>
          <w:i w:val="0"/>
          <w:iCs w:val="0"/>
          <w:color w:val="2B2E33"/>
          <w:spacing w:val="-3"/>
          <w:sz w:val="28"/>
          <w:szCs w:val="28"/>
        </w:rPr>
        <w:t>.</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rStyle w:val="a4"/>
          <w:i w:val="0"/>
          <w:iCs w:val="0"/>
          <w:color w:val="2B2E33"/>
          <w:spacing w:val="-3"/>
          <w:sz w:val="28"/>
          <w:szCs w:val="28"/>
        </w:rPr>
        <w:t>Быстрое восстановление спроса и повышенное инфляционное давление формируют необходимость возвращения к нейтральной денежно-кредитной политике. Банк России продолжит определять сроки и темпы возврата к нейтральной денежно-кредитной политике с учетом фактической и ожидаемой динамики инфляции относительно цели, развития экономики на прогнозном горизонте, а также оценивая риски со стороны внутренних и внешних условий и реакции на них финансовых рынков. При этом Банк России допускает возможность дальнейшего повышения ключевой ставки на ближайших заседаниях. С учетом проводимой денежно-кредитной политики годовая инфляция вернется к цели Банка России вблизи 4% в первой половине 2022 года и будет находиться на этом уровне в дальнейшем.</w:t>
      </w:r>
    </w:p>
    <w:p w:rsid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rStyle w:val="a6"/>
          <w:color w:val="2B2E33"/>
          <w:spacing w:val="-3"/>
          <w:sz w:val="28"/>
          <w:szCs w:val="28"/>
        </w:rPr>
        <w:t>Динамика инфляции.</w:t>
      </w:r>
      <w:r w:rsidRPr="00E44BE5">
        <w:rPr>
          <w:color w:val="2B2E33"/>
          <w:spacing w:val="-3"/>
          <w:sz w:val="28"/>
          <w:szCs w:val="28"/>
        </w:rPr>
        <w:t> </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Инфляция складывается выше прогноза Банка России. В феврале годовой темп прироста потребительских цен увеличился до 5,7% (после 5,2% в январе) и, по оценкам на 15 марта, составил 5,8%. Показатели, отражающие наиболее устойчивые процессы ценовой динамики, по оценкам Банка России, находятся значимо выше 4% в годовом выражении.</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Во многом это является отражением устойчивого характера восстановления внутреннего спроса. Его влияние на темпы роста цен усилено ограничениями на зарубежные поездки. Неизрасходованные на эти цели средства домашних хозяйств частично перераспределены на потребление товаров и услуг внутри страны. Дополнительное влияние на рост цен оказывают факторы со стороны предложения, сдерживающие наращивание выпуска ряда товаров.</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Инфляционные ожидания населения остаются на повышенных уровнях по сравнению с периодом до начала пандемии. Ценовые ожидания предприятий также остаются на повышенном уровне. Ожидания профессиональных аналитиков в среднесрочной перспективе заякорены вблизи 4%.</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Быстрое восстановление спроса и повышенное инфляционное давление формируют необходимость возвращения к нейтральной денежно-кредитной политике. По прогнозу Банка России, годовая инфляция достигнет своего максимума в марте и далее будет снижаться. С учетом проводимой денежно-кредитной политики годовая инфляция вернется к цели Банка России вблизи 4% в первой половине 2022 года и будет находиться на этом уровне в дальнейшем.</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rStyle w:val="a6"/>
          <w:color w:val="2B2E33"/>
          <w:spacing w:val="-3"/>
          <w:sz w:val="28"/>
          <w:szCs w:val="28"/>
        </w:rPr>
        <w:lastRenderedPageBreak/>
        <w:t>Денежно-кредитные условия</w:t>
      </w:r>
      <w:r w:rsidRPr="00E44BE5">
        <w:rPr>
          <w:color w:val="2B2E33"/>
          <w:spacing w:val="-3"/>
          <w:sz w:val="28"/>
          <w:szCs w:val="28"/>
        </w:rPr>
        <w:t> остаются мягкими и с момента предыдущего заседания Совета директоров Банка России существенно не изменились. Доходности краткосрочных ОФЗ возросли, отражая ожидания более быстрого возвращения Банка России к нейтральной денежно-кредитной политике. Увеличение доходностей среднесрочных и долгосрочных ОФЗ во многом связано с ростом процентных ставок на глобальных финансовых рынках. Кредитные и депозитные ставки преимущественно оставались неизменными. Кредитование продолжает расти темпами, близкими к максимумам последних лет. Наряду с мягкими денежно-кредитными условиями на динамику кредитования оказывают влияние льготные программы Правительства, а также регуляторные послабления. При принятии решений по ключевой ставке Банк России будет учитывать, насколько прекращение действия указанных антикризисных мер будет влиять на денежно-кредитные условия.</w:t>
      </w:r>
    </w:p>
    <w:p w:rsid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rStyle w:val="a6"/>
          <w:color w:val="2B2E33"/>
          <w:spacing w:val="-3"/>
          <w:sz w:val="28"/>
          <w:szCs w:val="28"/>
        </w:rPr>
        <w:t>Экономическая активность.</w:t>
      </w:r>
      <w:r w:rsidRPr="00E44BE5">
        <w:rPr>
          <w:color w:val="2B2E33"/>
          <w:spacing w:val="-3"/>
          <w:sz w:val="28"/>
          <w:szCs w:val="28"/>
        </w:rPr>
        <w:t> </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Восстановление экономической активности происходит быстрее, чем ожидалось ранее. Согласно данным мониторинга Банка России, все большее количество предприятий сообщают о возвращении производства на уровни до начала пандемии. Последовательное снятие ограничительных мер поддерживает восстановление розничной торговли и сферы услуг. При этом в ряде секторов возможности наращивания выпуска отстают от расширяющегося спроса. Потребительские настроения в январе—феврале продолжили улучшаться, конъюнктурные опросы показывают сохранение позитивных ожиданий предприятий.</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В 2021 году и далее поддержку росту российской экономики будет оказывать улучшение перспектив восстановления мировой экономики в условиях дополнительных мер бюджетной поддержки в отдельных странах, что ускорит рост спроса на товары российского экспорта. На среднесрочную траекторию экономического роста значимое влияние будут оказывать темпы вакцинации в России и в мире, эффективность вакцин против новых штаммов вируса, характер восстановления частного спроса, а также траектория бюджетной консолидации.</w:t>
      </w:r>
    </w:p>
    <w:p w:rsidR="00E44BE5" w:rsidRDefault="00E44BE5" w:rsidP="00E44BE5">
      <w:pPr>
        <w:pStyle w:val="a3"/>
        <w:shd w:val="clear" w:color="auto" w:fill="FFFFFF"/>
        <w:spacing w:before="0" w:beforeAutospacing="0" w:after="0" w:afterAutospacing="0"/>
        <w:ind w:firstLine="709"/>
        <w:jc w:val="both"/>
        <w:rPr>
          <w:rStyle w:val="a6"/>
          <w:color w:val="2B2E33"/>
          <w:spacing w:val="-3"/>
          <w:sz w:val="28"/>
          <w:szCs w:val="28"/>
        </w:rPr>
      </w:pPr>
      <w:r w:rsidRPr="00E44BE5">
        <w:rPr>
          <w:rStyle w:val="a6"/>
          <w:color w:val="2B2E33"/>
          <w:spacing w:val="-3"/>
          <w:sz w:val="28"/>
          <w:szCs w:val="28"/>
        </w:rPr>
        <w:t>Инфляционные риски. </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 xml:space="preserve">Баланс рисков сместился в сторону </w:t>
      </w:r>
      <w:proofErr w:type="spellStart"/>
      <w:r w:rsidRPr="00E44BE5">
        <w:rPr>
          <w:color w:val="2B2E33"/>
          <w:spacing w:val="-3"/>
          <w:sz w:val="28"/>
          <w:szCs w:val="28"/>
        </w:rPr>
        <w:t>проинфляционных</w:t>
      </w:r>
      <w:proofErr w:type="spellEnd"/>
      <w:r w:rsidRPr="00E44BE5">
        <w:rPr>
          <w:color w:val="2B2E33"/>
          <w:spacing w:val="-3"/>
          <w:sz w:val="28"/>
          <w:szCs w:val="28"/>
        </w:rPr>
        <w:t xml:space="preserve">. Действие </w:t>
      </w:r>
      <w:proofErr w:type="spellStart"/>
      <w:r w:rsidRPr="00E44BE5">
        <w:rPr>
          <w:color w:val="2B2E33"/>
          <w:spacing w:val="-3"/>
          <w:sz w:val="28"/>
          <w:szCs w:val="28"/>
        </w:rPr>
        <w:t>проинфляционных</w:t>
      </w:r>
      <w:proofErr w:type="spellEnd"/>
      <w:r w:rsidRPr="00E44BE5">
        <w:rPr>
          <w:color w:val="2B2E33"/>
          <w:spacing w:val="-3"/>
          <w:sz w:val="28"/>
          <w:szCs w:val="28"/>
        </w:rPr>
        <w:t xml:space="preserve"> факторов может оказаться более продолжительным и выраженным в условиях опережающего роста потребител</w:t>
      </w:r>
      <w:bookmarkStart w:id="0" w:name="_GoBack"/>
      <w:bookmarkEnd w:id="0"/>
      <w:r w:rsidRPr="00E44BE5">
        <w:rPr>
          <w:color w:val="2B2E33"/>
          <w:spacing w:val="-3"/>
          <w:sz w:val="28"/>
          <w:szCs w:val="28"/>
        </w:rPr>
        <w:t>ьского спроса по сравнению с возможностями расширения выпуска. Также их влияние может быть усилено повышенными инфляционными ожиданиями и сопутствующими вторичными эффектами.</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 xml:space="preserve">Дополнительное повышательное давление на цены могут продолжить оказывать временные затруднения в производственных и логистических цепочках. </w:t>
      </w:r>
      <w:proofErr w:type="spellStart"/>
      <w:r w:rsidRPr="00E44BE5">
        <w:rPr>
          <w:color w:val="2B2E33"/>
          <w:spacing w:val="-3"/>
          <w:sz w:val="28"/>
          <w:szCs w:val="28"/>
        </w:rPr>
        <w:t>Проинфляционные</w:t>
      </w:r>
      <w:proofErr w:type="spellEnd"/>
      <w:r w:rsidRPr="00E44BE5">
        <w:rPr>
          <w:color w:val="2B2E33"/>
          <w:spacing w:val="-3"/>
          <w:sz w:val="28"/>
          <w:szCs w:val="28"/>
        </w:rPr>
        <w:t xml:space="preserve"> риски создает ценовая конъюнктура мировых товарных рынков, в том числе под воздействием факторов со стороны предложения. Это может оказывать влияние на внутренние цены соответствующих товаров.</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 xml:space="preserve">Краткосрочные </w:t>
      </w:r>
      <w:proofErr w:type="spellStart"/>
      <w:r w:rsidRPr="00E44BE5">
        <w:rPr>
          <w:color w:val="2B2E33"/>
          <w:spacing w:val="-3"/>
          <w:sz w:val="28"/>
          <w:szCs w:val="28"/>
        </w:rPr>
        <w:t>проинфляционные</w:t>
      </w:r>
      <w:proofErr w:type="spellEnd"/>
      <w:r w:rsidRPr="00E44BE5">
        <w:rPr>
          <w:color w:val="2B2E33"/>
          <w:spacing w:val="-3"/>
          <w:sz w:val="28"/>
          <w:szCs w:val="28"/>
        </w:rPr>
        <w:t xml:space="preserve"> риски также связаны с усилением волатильности на глобальных рынках, в том числе под влиянием различных геополитических событий, что может отражаться на курсовых и инфляционных ожиданиях. В условиях более быстрого, чем ожидалось ранее, восстановления мировой </w:t>
      </w:r>
      <w:r w:rsidRPr="00E44BE5">
        <w:rPr>
          <w:color w:val="2B2E33"/>
          <w:spacing w:val="-3"/>
          <w:sz w:val="28"/>
          <w:szCs w:val="28"/>
        </w:rPr>
        <w:lastRenderedPageBreak/>
        <w:t>экономики и, соответственно, исчерпания необходимости проведения беспрецедентно стимулирующей политики в развитых экономиках возможно более раннее начало нормализации денежно-кредитной политики центральными банками этих стран. Это может стать дополнительным фактором роста волатильности на мировых финансовых рынках.</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proofErr w:type="spellStart"/>
      <w:r w:rsidRPr="00E44BE5">
        <w:rPr>
          <w:color w:val="2B2E33"/>
          <w:spacing w:val="-3"/>
          <w:sz w:val="28"/>
          <w:szCs w:val="28"/>
        </w:rPr>
        <w:t>Дезинфляционные</w:t>
      </w:r>
      <w:proofErr w:type="spellEnd"/>
      <w:r w:rsidRPr="00E44BE5">
        <w:rPr>
          <w:color w:val="2B2E33"/>
          <w:spacing w:val="-3"/>
          <w:sz w:val="28"/>
          <w:szCs w:val="28"/>
        </w:rPr>
        <w:t xml:space="preserve"> риски для базового сценария снизились. Открытие границ по мере снятия ограничительных мер может восстановить потребление зарубежных услуг, а также ослабить ограничения со стороны предложения на рынке труда через приток иностранной рабочей силы. Замедлить восстановление экономической активности могут, в частности, более низкие темпы вакцинации и распространение новых штаммов вируса, а также связанное с этим ужесточение ограничительных мер. Сдерживающее влияние на динамику инфляции могут также оказать устойчивые изменения в предпочтениях и поведении населения, в том числе возможное повышение склонности к сбережению.</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На среднесрочную динамику инфляции значимо влияет бюджетная политика. В базовом сценарии Банк России исходит из параметров федерального бюджета и бюджетов субъектов Федерации, отраженных в Основных направлениях бюджетной, налоговой и таможенно-тарифной политики на 2021 год и на плановый период 2022 и 2023 годов, а также заявленных сроков завершения антикризисных мер Правительства и Банка России. Банк России будет учитывать влияние на прогноз возможных решений об инвестировании ликвидной части Фонда национального благосостояния сверх порогового уровня в 7% ВВП.</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Банк России продолжит определять сроки и темпы возврата к нейтральной денежно-кредитной политике с учетом фактической и ожидаемой динамики инфляции относительно цели, развития экономики на прогнозном горизонте, а также оценивая риски со стороны внутренних и внешних условий и реакции на них финансовых рынков. При этом Банк России допускает возможность дальнейшего повышения ключевой ставки на ближайших заседаниях.</w:t>
      </w:r>
    </w:p>
    <w:p w:rsidR="00E44BE5" w:rsidRPr="00E44BE5" w:rsidRDefault="00E44BE5" w:rsidP="00E44BE5">
      <w:pPr>
        <w:pStyle w:val="a3"/>
        <w:shd w:val="clear" w:color="auto" w:fill="FFFFFF"/>
        <w:spacing w:before="0" w:beforeAutospacing="0" w:after="0" w:afterAutospacing="0"/>
        <w:ind w:firstLine="709"/>
        <w:jc w:val="both"/>
        <w:rPr>
          <w:color w:val="2B2E33"/>
          <w:spacing w:val="-3"/>
          <w:sz w:val="28"/>
          <w:szCs w:val="28"/>
        </w:rPr>
      </w:pPr>
      <w:r w:rsidRPr="00E44BE5">
        <w:rPr>
          <w:color w:val="2B2E33"/>
          <w:spacing w:val="-3"/>
          <w:sz w:val="28"/>
          <w:szCs w:val="28"/>
        </w:rPr>
        <w:t>Следующее заседание Совета директоров Банка России, на котором будет рассматриваться вопрос об уровне ключевой ставки, запланировано на </w:t>
      </w:r>
      <w:hyperlink r:id="rId7" w:tgtFrame="_blank" w:history="1">
        <w:r w:rsidRPr="00E44BE5">
          <w:rPr>
            <w:color w:val="2B2E33"/>
            <w:sz w:val="28"/>
            <w:szCs w:val="28"/>
          </w:rPr>
          <w:t>23 апреля 2021 года</w:t>
        </w:r>
      </w:hyperlink>
      <w:r w:rsidRPr="00E44BE5">
        <w:rPr>
          <w:color w:val="2B2E33"/>
          <w:spacing w:val="-3"/>
          <w:sz w:val="28"/>
          <w:szCs w:val="28"/>
        </w:rPr>
        <w:t>. Время публикации пресс-релиза о решении Совета директоров Банка России и среднесрочного прогноза Банка России — 13:30 по московскому времени.</w:t>
      </w:r>
    </w:p>
    <w:p w:rsidR="002E3A2B" w:rsidRPr="00E44BE5" w:rsidRDefault="00E44BE5" w:rsidP="00E44BE5">
      <w:pPr>
        <w:spacing w:after="0" w:line="240" w:lineRule="auto"/>
        <w:ind w:firstLine="709"/>
        <w:jc w:val="both"/>
        <w:rPr>
          <w:rFonts w:ascii="Times New Roman" w:hAnsi="Times New Roman" w:cs="Times New Roman"/>
          <w:sz w:val="28"/>
          <w:szCs w:val="28"/>
        </w:rPr>
      </w:pPr>
    </w:p>
    <w:sectPr w:rsidR="002E3A2B" w:rsidRPr="00E44BE5" w:rsidSect="00E44BE5">
      <w:headerReference w:type="default" r:id="rId8"/>
      <w:foot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BE5" w:rsidRDefault="00E44BE5" w:rsidP="00E44BE5">
      <w:pPr>
        <w:spacing w:after="0" w:line="240" w:lineRule="auto"/>
      </w:pPr>
      <w:r>
        <w:separator/>
      </w:r>
    </w:p>
  </w:endnote>
  <w:endnote w:type="continuationSeparator" w:id="0">
    <w:p w:rsidR="00E44BE5" w:rsidRDefault="00E44BE5" w:rsidP="00E4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E5" w:rsidRDefault="00E44BE5">
    <w:pPr>
      <w:pStyle w:val="a9"/>
      <w:jc w:val="center"/>
    </w:pPr>
  </w:p>
  <w:p w:rsidR="00E44BE5" w:rsidRDefault="00E44B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BE5" w:rsidRDefault="00E44BE5" w:rsidP="00E44BE5">
      <w:pPr>
        <w:spacing w:after="0" w:line="240" w:lineRule="auto"/>
      </w:pPr>
      <w:r>
        <w:separator/>
      </w:r>
    </w:p>
  </w:footnote>
  <w:footnote w:type="continuationSeparator" w:id="0">
    <w:p w:rsidR="00E44BE5" w:rsidRDefault="00E44BE5" w:rsidP="00E44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256234"/>
      <w:docPartObj>
        <w:docPartGallery w:val="Page Numbers (Top of Page)"/>
        <w:docPartUnique/>
      </w:docPartObj>
    </w:sdtPr>
    <w:sdtContent>
      <w:p w:rsidR="00E44BE5" w:rsidRDefault="00E44BE5">
        <w:pPr>
          <w:pStyle w:val="a7"/>
          <w:jc w:val="center"/>
        </w:pPr>
        <w:r>
          <w:fldChar w:fldCharType="begin"/>
        </w:r>
        <w:r>
          <w:instrText>PAGE   \* MERGEFORMAT</w:instrText>
        </w:r>
        <w:r>
          <w:fldChar w:fldCharType="separate"/>
        </w:r>
        <w:r>
          <w:rPr>
            <w:noProof/>
          </w:rPr>
          <w:t>3</w:t>
        </w:r>
        <w:r>
          <w:fldChar w:fldCharType="end"/>
        </w:r>
      </w:p>
    </w:sdtContent>
  </w:sdt>
  <w:p w:rsidR="00E44BE5" w:rsidRDefault="00E44BE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E5"/>
    <w:rsid w:val="006A0902"/>
    <w:rsid w:val="00B27BCA"/>
    <w:rsid w:val="00E4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CA92D-A214-4BCF-8216-784C3298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44BE5"/>
    <w:rPr>
      <w:i/>
      <w:iCs/>
    </w:rPr>
  </w:style>
  <w:style w:type="character" w:styleId="a5">
    <w:name w:val="Hyperlink"/>
    <w:basedOn w:val="a0"/>
    <w:uiPriority w:val="99"/>
    <w:semiHidden/>
    <w:unhideWhenUsed/>
    <w:rsid w:val="00E44BE5"/>
    <w:rPr>
      <w:color w:val="0000FF"/>
      <w:u w:val="single"/>
    </w:rPr>
  </w:style>
  <w:style w:type="character" w:styleId="a6">
    <w:name w:val="Strong"/>
    <w:basedOn w:val="a0"/>
    <w:uiPriority w:val="22"/>
    <w:qFormat/>
    <w:rsid w:val="00E44BE5"/>
    <w:rPr>
      <w:b/>
      <w:bCs/>
    </w:rPr>
  </w:style>
  <w:style w:type="paragraph" w:styleId="a7">
    <w:name w:val="header"/>
    <w:basedOn w:val="a"/>
    <w:link w:val="a8"/>
    <w:uiPriority w:val="99"/>
    <w:unhideWhenUsed/>
    <w:rsid w:val="00E44B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4BE5"/>
  </w:style>
  <w:style w:type="paragraph" w:styleId="a9">
    <w:name w:val="footer"/>
    <w:basedOn w:val="a"/>
    <w:link w:val="aa"/>
    <w:uiPriority w:val="99"/>
    <w:unhideWhenUsed/>
    <w:rsid w:val="00E44B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4BE5"/>
  </w:style>
  <w:style w:type="paragraph" w:styleId="ab">
    <w:name w:val="Balloon Text"/>
    <w:basedOn w:val="a"/>
    <w:link w:val="ac"/>
    <w:uiPriority w:val="99"/>
    <w:semiHidden/>
    <w:unhideWhenUsed/>
    <w:rsid w:val="00E44BE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44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br.ru/DKP/cal_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r.ru/oper_br/i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Головкова Мария Васильевна</dc:creator>
  <cp:keywords/>
  <dc:description/>
  <cp:lastModifiedBy>Головкова Мария Васильевна</cp:lastModifiedBy>
  <cp:revision>1</cp:revision>
  <cp:lastPrinted>2021-03-22T07:34:00Z</cp:lastPrinted>
  <dcterms:created xsi:type="dcterms:W3CDTF">2021-03-22T07:31:00Z</dcterms:created>
  <dcterms:modified xsi:type="dcterms:W3CDTF">2021-03-22T07:34:00Z</dcterms:modified>
</cp:coreProperties>
</file>