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  <w:spacing w:after="0" w:before="0"/>
        <w:ind w:firstLine="0" w:left="390" w:right="390"/>
        <w:rPr>
          <w:color w:val="000000"/>
          <w:sz w:val="28"/>
        </w:rPr>
      </w:pPr>
      <w:r>
        <w:rPr>
          <w:color w:val="000000"/>
          <w:sz w:val="28"/>
        </w:rPr>
        <w:t>Уведомление о проведении публичных консультаций</w:t>
      </w:r>
    </w:p>
    <w:p w14:paraId="02000000">
      <w:pPr>
        <w:pStyle w:val="Style_2"/>
        <w:numPr>
          <w:ilvl w:val="0"/>
          <w:numId w:val="1"/>
        </w:numPr>
        <w:ind w:right="195"/>
        <w:rPr>
          <w:sz w:val="28"/>
        </w:rPr>
      </w:pPr>
      <w:r>
        <w:rPr>
          <w:b w:val="1"/>
          <w:color w:val="000000"/>
          <w:sz w:val="28"/>
        </w:rPr>
        <w:t xml:space="preserve">Уведомление о проведении публичных консультаций в отношении </w:t>
      </w:r>
    </w:p>
    <w:p w14:paraId="03000000">
      <w:pPr>
        <w:pStyle w:val="Style_2"/>
        <w:ind w:firstLine="348" w:left="360" w:right="195"/>
        <w:jc w:val="both"/>
        <w:rPr>
          <w:color w:val="000000"/>
          <w:sz w:val="28"/>
        </w:rPr>
      </w:pPr>
      <w:r>
        <w:rPr>
          <w:rStyle w:val="Style_3_ch"/>
          <w:color w:val="000000"/>
          <w:sz w:val="28"/>
        </w:rPr>
        <w:fldChar w:fldCharType="begin"/>
      </w:r>
      <w:r>
        <w:rPr>
          <w:rStyle w:val="Style_3_ch"/>
          <w:color w:val="000000"/>
          <w:sz w:val="28"/>
        </w:rPr>
        <w:instrText>HYPERLINK "http://municipal.garant.ru/document/redirect/187727414/0"</w:instrText>
      </w:r>
      <w:r>
        <w:rPr>
          <w:rStyle w:val="Style_3_ch"/>
          <w:color w:val="000000"/>
          <w:sz w:val="28"/>
        </w:rPr>
        <w:fldChar w:fldCharType="separate"/>
      </w:r>
      <w:r>
        <w:rPr>
          <w:rStyle w:val="Style_3_ch"/>
          <w:color w:val="000000"/>
          <w:sz w:val="28"/>
        </w:rPr>
        <w:t xml:space="preserve">Постановления администрации муниципального образования Выселковский район </w:t>
      </w:r>
      <w:r>
        <w:rPr>
          <w:rStyle w:val="Style_3_ch"/>
          <w:color w:val="000000"/>
          <w:sz w:val="28"/>
        </w:rPr>
        <w:fldChar w:fldCharType="end"/>
      </w:r>
      <w:r>
        <w:rPr>
          <w:b w:val="0"/>
          <w:color w:val="000000"/>
          <w:sz w:val="28"/>
        </w:rPr>
        <w:fldChar w:fldCharType="begin"/>
      </w:r>
      <w:r>
        <w:rPr>
          <w:b w:val="0"/>
          <w:color w:val="000000"/>
          <w:sz w:val="28"/>
        </w:rPr>
        <w:instrText>HYPERLINK "http://municipal.garant.ru/document/redirect/187727414/0"</w:instrText>
      </w:r>
      <w:r>
        <w:rPr>
          <w:b w:val="0"/>
          <w:color w:val="000000"/>
          <w:sz w:val="28"/>
        </w:rPr>
        <w:fldChar w:fldCharType="separate"/>
      </w:r>
      <w:r>
        <w:rPr>
          <w:b w:val="0"/>
          <w:color w:val="000000"/>
          <w:sz w:val="28"/>
        </w:rPr>
        <w:t>от</w:t>
      </w:r>
      <w:r>
        <w:rPr>
          <w:b w:val="0"/>
          <w:color w:val="000000"/>
          <w:sz w:val="28"/>
        </w:rPr>
        <w:t xml:space="preserve"> </w:t>
      </w:r>
      <w:r>
        <w:rPr>
          <w:b w:val="0"/>
          <w:color w:val="000000"/>
          <w:sz w:val="28"/>
        </w:rPr>
        <w:t>10 апреля 2019г.  № 446</w:t>
      </w:r>
      <w:r>
        <w:rPr>
          <w:b w:val="0"/>
          <w:color w:val="000000"/>
          <w:sz w:val="28"/>
        </w:rPr>
        <w:fldChar w:fldCharType="end"/>
      </w:r>
      <w:r>
        <w:rPr>
          <w:b w:val="0"/>
          <w:color w:val="000000"/>
          <w:sz w:val="28"/>
        </w:rPr>
        <w:t xml:space="preserve"> «</w:t>
      </w:r>
      <w:r>
        <w:rPr>
          <w:rFonts w:ascii="Times New Roman" w:hAnsi="Times New Roman"/>
          <w:b w:val="0"/>
          <w:color w:val="000000"/>
          <w:sz w:val="28"/>
        </w:rPr>
        <w:t xml:space="preserve">Об утверждении </w:t>
      </w:r>
      <w:r>
        <w:rPr>
          <w:rFonts w:ascii="Times New Roman" w:hAnsi="Times New Roman"/>
          <w:b w:val="0"/>
          <w:color w:val="000000"/>
          <w:sz w:val="28"/>
        </w:rPr>
        <w:t xml:space="preserve">Порядка сноса самовольных </w:t>
      </w:r>
      <w:r>
        <w:rPr>
          <w:rFonts w:ascii="Times New Roman" w:hAnsi="Times New Roman"/>
          <w:b w:val="0"/>
          <w:color w:val="000000"/>
          <w:sz w:val="28"/>
        </w:rPr>
        <w:t xml:space="preserve">построек, сноса или приведения в соответствие с </w:t>
      </w:r>
      <w:r>
        <w:rPr>
          <w:rFonts w:ascii="Times New Roman" w:hAnsi="Times New Roman"/>
          <w:b w:val="0"/>
          <w:color w:val="000000"/>
          <w:sz w:val="28"/>
        </w:rPr>
        <w:t xml:space="preserve">установленными требованиями самовольных </w:t>
      </w:r>
      <w:r>
        <w:rPr>
          <w:rFonts w:ascii="Times New Roman" w:hAnsi="Times New Roman"/>
          <w:b w:val="0"/>
          <w:color w:val="000000"/>
          <w:sz w:val="28"/>
        </w:rPr>
        <w:t>построек на территори</w:t>
      </w:r>
      <w:r>
        <w:rPr>
          <w:rFonts w:ascii="Times New Roman" w:hAnsi="Times New Roman"/>
          <w:b w:val="0"/>
          <w:color w:val="000000"/>
          <w:sz w:val="28"/>
        </w:rPr>
        <w:t>и</w:t>
      </w:r>
      <w:r>
        <w:rPr>
          <w:rFonts w:ascii="Times New Roman" w:hAnsi="Times New Roman"/>
          <w:b w:val="0"/>
          <w:color w:val="000000"/>
          <w:sz w:val="28"/>
        </w:rPr>
        <w:t xml:space="preserve"> </w:t>
      </w:r>
      <w:r>
        <w:rPr>
          <w:rFonts w:ascii="Times New Roman" w:hAnsi="Times New Roman"/>
          <w:b w:val="0"/>
          <w:color w:val="000000"/>
          <w:sz w:val="28"/>
        </w:rPr>
        <w:t xml:space="preserve">муниципального  </w:t>
      </w:r>
      <w:r>
        <w:rPr>
          <w:rFonts w:ascii="Times New Roman" w:hAnsi="Times New Roman"/>
          <w:b w:val="0"/>
          <w:color w:val="000000"/>
          <w:sz w:val="28"/>
        </w:rPr>
        <w:t xml:space="preserve">образования </w:t>
      </w:r>
      <w:r>
        <w:rPr>
          <w:rFonts w:ascii="Times New Roman" w:hAnsi="Times New Roman"/>
          <w:b w:val="0"/>
          <w:color w:val="000000"/>
          <w:sz w:val="28"/>
        </w:rPr>
        <w:t>Выселковск</w:t>
      </w:r>
      <w:r>
        <w:rPr>
          <w:rFonts w:ascii="Times New Roman" w:hAnsi="Times New Roman"/>
          <w:b w:val="0"/>
          <w:color w:val="000000"/>
          <w:sz w:val="28"/>
        </w:rPr>
        <w:t>ий</w:t>
      </w:r>
      <w:r>
        <w:rPr>
          <w:rFonts w:ascii="Times New Roman" w:hAnsi="Times New Roman"/>
          <w:b w:val="0"/>
          <w:color w:val="000000"/>
          <w:sz w:val="28"/>
        </w:rPr>
        <w:t xml:space="preserve"> район</w:t>
      </w:r>
      <w:r>
        <w:rPr>
          <w:rFonts w:ascii="Times New Roman" w:hAnsi="Times New Roman"/>
          <w:b w:val="0"/>
          <w:color w:val="000000"/>
          <w:sz w:val="28"/>
        </w:rPr>
        <w:t>»</w:t>
      </w:r>
      <w:r>
        <w:rPr>
          <w:color w:val="000000"/>
          <w:sz w:val="28"/>
        </w:rPr>
        <w:t>.</w:t>
      </w:r>
    </w:p>
    <w:p w14:paraId="04000000">
      <w:pPr>
        <w:pStyle w:val="Style_2"/>
        <w:ind w:firstLine="348" w:left="360" w:right="195"/>
        <w:jc w:val="both"/>
        <w:rPr>
          <w:color w:val="000000"/>
          <w:sz w:val="28"/>
        </w:rPr>
      </w:pPr>
      <w:r>
        <w:rPr>
          <w:color w:val="000000"/>
          <w:sz w:val="28"/>
        </w:rPr>
        <w:t>В соответствии с Порядком проведения экспертизы муниципальных нормативных правовых актов муниципального образования Выселковский район, затрагивающих вопросы осуществления предпринимательской и инвестиционной деятельности, утверждённым постановлением администрации муниципального образования Выселковский район от 17 июля 2015 № 765</w:t>
      </w:r>
      <w:r>
        <w:rPr>
          <w:color w:val="000000"/>
          <w:sz w:val="28"/>
        </w:rPr>
        <w:t xml:space="preserve"> (с изменениями и дополнениями от </w:t>
      </w:r>
      <w:r>
        <w:rPr>
          <w:rFonts w:ascii="Times New Roman" w:hAnsi="Times New Roman"/>
          <w:b w:val="0"/>
          <w:color w:val="000000"/>
          <w:sz w:val="28"/>
        </w:rPr>
        <w:t xml:space="preserve"> 29.06.2023г</w:t>
      </w:r>
      <w:r>
        <w:rPr>
          <w:color w:val="000000"/>
          <w:sz w:val="28"/>
        </w:rPr>
        <w:t>)</w:t>
      </w:r>
      <w:r>
        <w:rPr>
          <w:color w:val="000000"/>
          <w:sz w:val="28"/>
        </w:rPr>
        <w:t xml:space="preserve"> и Планом проведения экспертизы муниципальных нормативных правовых актов муниципального образования Выселковский район на 2 </w:t>
      </w:r>
      <w:r>
        <w:rPr>
          <w:color w:val="000000"/>
          <w:sz w:val="28"/>
        </w:rPr>
        <w:t>полугодие 20</w:t>
      </w:r>
      <w:r>
        <w:rPr>
          <w:color w:val="000000"/>
          <w:sz w:val="28"/>
        </w:rPr>
        <w:t>2</w:t>
      </w:r>
      <w:r>
        <w:rPr>
          <w:color w:val="000000"/>
          <w:sz w:val="28"/>
        </w:rPr>
        <w:t>3</w:t>
      </w:r>
      <w:r>
        <w:rPr>
          <w:color w:val="000000"/>
          <w:sz w:val="28"/>
        </w:rPr>
        <w:t xml:space="preserve"> года</w:t>
      </w:r>
      <w:r>
        <w:rPr>
          <w:color w:val="000000"/>
          <w:sz w:val="28"/>
        </w:rPr>
        <w:t>, в целях выявления в них положений, необоснованно затрудняющих ведение предпринимательской и инвестиционной деятельности, администрация муниципального образования Выселковский район (</w:t>
      </w:r>
      <w:r>
        <w:rPr>
          <w:color w:val="000000"/>
          <w:sz w:val="28"/>
        </w:rPr>
        <w:t>отдел</w:t>
      </w:r>
      <w:r>
        <w:rPr>
          <w:color w:val="000000"/>
          <w:sz w:val="28"/>
        </w:rPr>
        <w:t xml:space="preserve"> экономики) проводит публичные консультации в отношении </w:t>
      </w:r>
      <w:r>
        <w:rPr>
          <w:rStyle w:val="Style_3_ch"/>
          <w:color w:val="000000"/>
          <w:sz w:val="28"/>
        </w:rPr>
        <w:fldChar w:fldCharType="begin"/>
      </w:r>
      <w:r>
        <w:rPr>
          <w:rStyle w:val="Style_3_ch"/>
          <w:color w:val="000000"/>
          <w:sz w:val="28"/>
        </w:rPr>
        <w:instrText>HYPERLINK "http://municipal.garant.ru/document/redirect/187727414/0"</w:instrText>
      </w:r>
      <w:r>
        <w:rPr>
          <w:rStyle w:val="Style_3_ch"/>
          <w:color w:val="000000"/>
          <w:sz w:val="28"/>
        </w:rPr>
        <w:fldChar w:fldCharType="separate"/>
      </w:r>
      <w:r>
        <w:rPr>
          <w:rStyle w:val="Style_3_ch"/>
          <w:color w:val="000000"/>
          <w:sz w:val="28"/>
        </w:rPr>
        <w:t>постановления администрации муниципального образования Выселковский район</w:t>
      </w:r>
      <w:r>
        <w:rPr>
          <w:rStyle w:val="Style_3_ch"/>
          <w:color w:val="000000"/>
          <w:sz w:val="28"/>
        </w:rPr>
        <w:t xml:space="preserve"> </w:t>
      </w:r>
      <w:r>
        <w:rPr>
          <w:rStyle w:val="Style_3_ch"/>
          <w:color w:val="000000"/>
          <w:sz w:val="28"/>
        </w:rPr>
        <w:fldChar w:fldCharType="end"/>
      </w:r>
      <w:r>
        <w:rPr>
          <w:b w:val="0"/>
          <w:color w:val="000000"/>
          <w:sz w:val="28"/>
        </w:rPr>
        <w:fldChar w:fldCharType="begin"/>
      </w:r>
      <w:r>
        <w:rPr>
          <w:b w:val="0"/>
          <w:color w:val="000000"/>
          <w:sz w:val="28"/>
        </w:rPr>
        <w:instrText>HYPERLINK "http://municipal.garant.ru/document/redirect/187727414/0"</w:instrText>
      </w:r>
      <w:r>
        <w:rPr>
          <w:b w:val="0"/>
          <w:color w:val="000000"/>
          <w:sz w:val="28"/>
        </w:rPr>
        <w:fldChar w:fldCharType="separate"/>
      </w:r>
      <w:r>
        <w:rPr>
          <w:b w:val="0"/>
          <w:color w:val="000000"/>
          <w:sz w:val="28"/>
        </w:rPr>
        <w:t>от</w:t>
      </w:r>
      <w:r>
        <w:rPr>
          <w:b w:val="0"/>
          <w:color w:val="000000"/>
          <w:sz w:val="28"/>
        </w:rPr>
        <w:t xml:space="preserve"> </w:t>
      </w:r>
      <w:r>
        <w:rPr>
          <w:b w:val="0"/>
          <w:color w:val="000000"/>
          <w:sz w:val="28"/>
        </w:rPr>
        <w:t>10апреля 2019г.  № 446</w:t>
      </w:r>
      <w:r>
        <w:rPr>
          <w:b w:val="0"/>
          <w:color w:val="000000"/>
          <w:sz w:val="28"/>
        </w:rPr>
        <w:fldChar w:fldCharType="end"/>
      </w:r>
      <w:r>
        <w:rPr>
          <w:b w:val="0"/>
          <w:color w:val="000000"/>
          <w:sz w:val="28"/>
        </w:rPr>
        <w:t xml:space="preserve"> «</w:t>
      </w:r>
      <w:r>
        <w:rPr>
          <w:rFonts w:ascii="Times New Roman" w:hAnsi="Times New Roman"/>
          <w:b w:val="0"/>
          <w:color w:val="000000"/>
          <w:sz w:val="28"/>
        </w:rPr>
        <w:t xml:space="preserve">Об утверждении </w:t>
      </w:r>
      <w:r>
        <w:rPr>
          <w:rFonts w:ascii="Times New Roman" w:hAnsi="Times New Roman"/>
          <w:b w:val="0"/>
          <w:color w:val="000000"/>
          <w:sz w:val="28"/>
        </w:rPr>
        <w:t xml:space="preserve">Порядка сноса самовольных </w:t>
      </w:r>
      <w:r>
        <w:rPr>
          <w:rFonts w:ascii="Times New Roman" w:hAnsi="Times New Roman"/>
          <w:b w:val="0"/>
          <w:color w:val="000000"/>
          <w:sz w:val="28"/>
        </w:rPr>
        <w:t xml:space="preserve">построек, сноса или приведения в соответствие с </w:t>
      </w:r>
      <w:r>
        <w:rPr>
          <w:rFonts w:ascii="Times New Roman" w:hAnsi="Times New Roman"/>
          <w:b w:val="0"/>
          <w:color w:val="000000"/>
          <w:sz w:val="28"/>
        </w:rPr>
        <w:t xml:space="preserve">установленными требованиями самовольных </w:t>
      </w:r>
      <w:r>
        <w:rPr>
          <w:rFonts w:ascii="Times New Roman" w:hAnsi="Times New Roman"/>
          <w:b w:val="0"/>
          <w:color w:val="000000"/>
          <w:sz w:val="28"/>
        </w:rPr>
        <w:t>построек на территори</w:t>
      </w:r>
      <w:r>
        <w:rPr>
          <w:rFonts w:ascii="Times New Roman" w:hAnsi="Times New Roman"/>
          <w:b w:val="0"/>
          <w:color w:val="000000"/>
          <w:sz w:val="28"/>
        </w:rPr>
        <w:t>и</w:t>
      </w:r>
      <w:r>
        <w:rPr>
          <w:rFonts w:ascii="Times New Roman" w:hAnsi="Times New Roman"/>
          <w:b w:val="0"/>
          <w:color w:val="000000"/>
          <w:sz w:val="28"/>
        </w:rPr>
        <w:t xml:space="preserve"> </w:t>
      </w:r>
      <w:r>
        <w:rPr>
          <w:rFonts w:ascii="Times New Roman" w:hAnsi="Times New Roman"/>
          <w:b w:val="0"/>
          <w:color w:val="000000"/>
          <w:sz w:val="28"/>
        </w:rPr>
        <w:t xml:space="preserve">муниципального  </w:t>
      </w:r>
      <w:r>
        <w:rPr>
          <w:rFonts w:ascii="Times New Roman" w:hAnsi="Times New Roman"/>
          <w:b w:val="0"/>
          <w:color w:val="000000"/>
          <w:sz w:val="28"/>
        </w:rPr>
        <w:t xml:space="preserve">образования </w:t>
      </w:r>
      <w:r>
        <w:rPr>
          <w:rFonts w:ascii="Times New Roman" w:hAnsi="Times New Roman"/>
          <w:b w:val="0"/>
          <w:color w:val="000000"/>
          <w:sz w:val="28"/>
        </w:rPr>
        <w:t>Выселковск</w:t>
      </w:r>
      <w:r>
        <w:rPr>
          <w:rFonts w:ascii="Times New Roman" w:hAnsi="Times New Roman"/>
          <w:b w:val="0"/>
          <w:color w:val="000000"/>
          <w:sz w:val="28"/>
        </w:rPr>
        <w:t>ий</w:t>
      </w:r>
      <w:r>
        <w:rPr>
          <w:rFonts w:ascii="Times New Roman" w:hAnsi="Times New Roman"/>
          <w:b w:val="0"/>
          <w:color w:val="000000"/>
          <w:sz w:val="28"/>
        </w:rPr>
        <w:t xml:space="preserve"> район»</w:t>
      </w:r>
      <w:r>
        <w:rPr>
          <w:rStyle w:val="Style_3_ch"/>
          <w:color w:val="000000"/>
          <w:sz w:val="28"/>
        </w:rPr>
        <w:fldChar w:fldCharType="begin"/>
      </w:r>
      <w:r>
        <w:rPr>
          <w:rStyle w:val="Style_3_ch"/>
          <w:color w:val="000000"/>
          <w:sz w:val="28"/>
        </w:rPr>
        <w:instrText>HYPERLINK "http://municipal.garant.ru/document/redirect/187727414/0"</w:instrText>
      </w:r>
      <w:r>
        <w:rPr>
          <w:rStyle w:val="Style_3_ch"/>
          <w:color w:val="000000"/>
          <w:sz w:val="28"/>
        </w:rPr>
        <w:fldChar w:fldCharType="separate"/>
      </w:r>
      <w:r>
        <w:rPr>
          <w:rStyle w:val="Style_3_ch"/>
          <w:color w:val="000000"/>
          <w:sz w:val="28"/>
        </w:rPr>
        <w:t xml:space="preserve"> </w:t>
      </w:r>
      <w:r>
        <w:rPr>
          <w:rStyle w:val="Style_3_ch"/>
          <w:color w:val="000000"/>
          <w:sz w:val="28"/>
        </w:rPr>
        <w:fldChar w:fldCharType="end"/>
      </w:r>
      <w:r>
        <w:rPr>
          <w:sz w:val="28"/>
        </w:rPr>
        <w:t>(далее — НПА).</w:t>
      </w:r>
    </w:p>
    <w:p w14:paraId="05000000">
      <w:pPr>
        <w:pStyle w:val="Style_2"/>
        <w:ind w:firstLine="0" w:left="360" w:right="195"/>
        <w:rPr>
          <w:color w:val="000000"/>
          <w:sz w:val="28"/>
        </w:rPr>
      </w:pPr>
      <w:r>
        <w:rPr>
          <w:b w:val="1"/>
          <w:color w:val="000000"/>
          <w:sz w:val="28"/>
        </w:rPr>
        <w:t>Прием замечаний, предложений и иной информации по НПА, будет осуществляться с 09</w:t>
      </w:r>
      <w:r>
        <w:rPr>
          <w:b w:val="1"/>
          <w:color w:val="000000"/>
          <w:sz w:val="28"/>
        </w:rPr>
        <w:t>.08</w:t>
      </w:r>
      <w:r>
        <w:rPr>
          <w:b w:val="1"/>
          <w:color w:val="000000"/>
          <w:sz w:val="28"/>
        </w:rPr>
        <w:t>.2</w:t>
      </w:r>
      <w:r>
        <w:rPr>
          <w:b w:val="1"/>
          <w:color w:val="000000"/>
          <w:sz w:val="28"/>
        </w:rPr>
        <w:t>0</w:t>
      </w:r>
      <w:r>
        <w:rPr>
          <w:b w:val="1"/>
          <w:color w:val="000000"/>
          <w:sz w:val="28"/>
        </w:rPr>
        <w:t>2</w:t>
      </w:r>
      <w:r>
        <w:rPr>
          <w:b w:val="1"/>
          <w:color w:val="000000"/>
          <w:sz w:val="28"/>
        </w:rPr>
        <w:t>3</w:t>
      </w:r>
      <w:r>
        <w:rPr>
          <w:b w:val="1"/>
          <w:color w:val="000000"/>
          <w:sz w:val="28"/>
        </w:rPr>
        <w:t xml:space="preserve"> до 09</w:t>
      </w:r>
      <w:r>
        <w:rPr>
          <w:b w:val="1"/>
          <w:color w:val="000000"/>
          <w:sz w:val="28"/>
        </w:rPr>
        <w:t>.09</w:t>
      </w:r>
      <w:r>
        <w:rPr>
          <w:b w:val="1"/>
          <w:color w:val="000000"/>
          <w:sz w:val="28"/>
        </w:rPr>
        <w:t>.20</w:t>
      </w:r>
      <w:r>
        <w:rPr>
          <w:b w:val="1"/>
          <w:color w:val="000000"/>
          <w:sz w:val="28"/>
        </w:rPr>
        <w:t>2</w:t>
      </w:r>
      <w:r>
        <w:rPr>
          <w:b w:val="1"/>
          <w:color w:val="000000"/>
          <w:sz w:val="28"/>
        </w:rPr>
        <w:t>3</w:t>
      </w:r>
      <w:r>
        <w:rPr>
          <w:b w:val="1"/>
          <w:color w:val="000000"/>
          <w:sz w:val="28"/>
        </w:rPr>
        <w:t xml:space="preserve"> года по электронной почте: 7448025@mail.ru или по адресу: 353100, Краснодарский край, Выселковский район ст. Выселки, ул. Ленина , 37, каб.</w:t>
      </w:r>
      <w:r>
        <w:rPr>
          <w:b w:val="1"/>
          <w:color w:val="000000"/>
          <w:sz w:val="28"/>
        </w:rPr>
        <w:t>18</w:t>
      </w:r>
      <w:r>
        <w:rPr>
          <w:b w:val="1"/>
          <w:color w:val="000000"/>
          <w:sz w:val="28"/>
        </w:rPr>
        <w:t>, телефон для справок: 8(86157)</w:t>
      </w:r>
      <w:r>
        <w:rPr>
          <w:b w:val="1"/>
          <w:color w:val="000000"/>
          <w:sz w:val="28"/>
        </w:rPr>
        <w:t>73502</w:t>
      </w:r>
      <w:r>
        <w:rPr>
          <w:b w:val="1"/>
          <w:color w:val="000000"/>
          <w:sz w:val="28"/>
        </w:rPr>
        <w:t>.</w:t>
      </w:r>
    </w:p>
    <w:p w14:paraId="06000000"/>
    <w:p w14:paraId="07000000"/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tabs>
          <w:tab w:leader="none" w:pos="720" w:val="left"/>
        </w:tabs>
        <w:ind w:hanging="360" w:left="720"/>
      </w:pPr>
    </w:lvl>
    <w:lvl w:ilvl="1">
      <w:start w:val="1"/>
      <w:numFmt w:val="lowerLetter"/>
      <w:lvlText w:val="%2."/>
      <w:lvlJc w:val="left"/>
      <w:pPr>
        <w:tabs>
          <w:tab w:leader="none" w:pos="1440" w:val="left"/>
        </w:tabs>
        <w:ind w:hanging="360" w:left="1440"/>
      </w:pPr>
    </w:lvl>
    <w:lvl w:ilvl="2">
      <w:start w:val="1"/>
      <w:numFmt w:val="lowerRoman"/>
      <w:lvlText w:val="%3."/>
      <w:lvlJc w:val="right"/>
      <w:pPr>
        <w:tabs>
          <w:tab w:leader="none" w:pos="2160" w:val="left"/>
        </w:tabs>
        <w:ind w:hanging="180" w:left="2160"/>
      </w:pPr>
    </w:lvl>
    <w:lvl w:ilvl="3">
      <w:start w:val="1"/>
      <w:numFmt w:val="decimal"/>
      <w:lvlText w:val="%4."/>
      <w:lvlJc w:val="left"/>
      <w:pPr>
        <w:tabs>
          <w:tab w:leader="none" w:pos="2880" w:val="left"/>
        </w:tabs>
        <w:ind w:hanging="360" w:left="2880"/>
      </w:pPr>
    </w:lvl>
    <w:lvl w:ilvl="4">
      <w:start w:val="1"/>
      <w:numFmt w:val="lowerLetter"/>
      <w:lvlText w:val="%5."/>
      <w:lvlJc w:val="left"/>
      <w:pPr>
        <w:tabs>
          <w:tab w:leader="none" w:pos="3600" w:val="left"/>
        </w:tabs>
        <w:ind w:hanging="360" w:left="3600"/>
      </w:pPr>
    </w:lvl>
    <w:lvl w:ilvl="5">
      <w:start w:val="1"/>
      <w:numFmt w:val="lowerRoman"/>
      <w:lvlText w:val="%6."/>
      <w:lvlJc w:val="right"/>
      <w:pPr>
        <w:tabs>
          <w:tab w:leader="none" w:pos="4320" w:val="left"/>
        </w:tabs>
        <w:ind w:hanging="180" w:left="4320"/>
      </w:pPr>
    </w:lvl>
    <w:lvl w:ilvl="6">
      <w:start w:val="1"/>
      <w:numFmt w:val="decimal"/>
      <w:lvlText w:val="%7."/>
      <w:lvlJc w:val="left"/>
      <w:pPr>
        <w:tabs>
          <w:tab w:leader="none" w:pos="5040" w:val="left"/>
        </w:tabs>
        <w:ind w:hanging="360" w:left="5040"/>
      </w:pPr>
    </w:lvl>
    <w:lvl w:ilvl="7">
      <w:start w:val="1"/>
      <w:numFmt w:val="lowerLetter"/>
      <w:lvlText w:val="%8."/>
      <w:lvlJc w:val="left"/>
      <w:pPr>
        <w:tabs>
          <w:tab w:leader="none" w:pos="5760" w:val="left"/>
        </w:tabs>
        <w:ind w:hanging="360" w:left="5760"/>
      </w:pPr>
    </w:lvl>
    <w:lvl w:ilvl="8">
      <w:start w:val="1"/>
      <w:numFmt w:val="lowerRoman"/>
      <w:lvlText w:val="%9."/>
      <w:lvlJc w:val="right"/>
      <w:pPr>
        <w:tabs>
          <w:tab w:leader="none" w:pos="6480" w:val="left"/>
        </w:tabs>
        <w:ind w:hanging="180" w:left="6480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4" w:type="paragraph">
    <w:name w:val="Normal"/>
    <w:link w:val="Style_4_ch"/>
    <w:uiPriority w:val="0"/>
    <w:qFormat/>
    <w:rPr>
      <w:sz w:val="24"/>
    </w:rPr>
  </w:style>
  <w:style w:default="1" w:styleId="Style_4_ch" w:type="character">
    <w:name w:val="Normal"/>
    <w:link w:val="Style_4"/>
    <w:rPr>
      <w:sz w:val="24"/>
    </w:rPr>
  </w:style>
  <w:style w:styleId="Style_5" w:type="paragraph">
    <w:name w:val="toc 2"/>
    <w:next w:val="Style_4"/>
    <w:link w:val="Style_5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5_ch" w:type="character">
    <w:name w:val="toc 2"/>
    <w:link w:val="Style_5"/>
    <w:rPr>
      <w:rFonts w:ascii="XO Thames" w:hAnsi="XO Thames"/>
      <w:sz w:val="28"/>
    </w:rPr>
  </w:style>
  <w:style w:styleId="Style_6" w:type="paragraph">
    <w:name w:val="toc 4"/>
    <w:next w:val="Style_4"/>
    <w:link w:val="Style_6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6_ch" w:type="character">
    <w:name w:val="toc 4"/>
    <w:link w:val="Style_6"/>
    <w:rPr>
      <w:rFonts w:ascii="XO Thames" w:hAnsi="XO Thames"/>
      <w:sz w:val="28"/>
    </w:rPr>
  </w:style>
  <w:style w:styleId="Style_7" w:type="paragraph">
    <w:name w:val="toc 6"/>
    <w:next w:val="Style_4"/>
    <w:link w:val="Style_7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7_ch" w:type="character">
    <w:name w:val="toc 6"/>
    <w:link w:val="Style_7"/>
    <w:rPr>
      <w:rFonts w:ascii="XO Thames" w:hAnsi="XO Thames"/>
      <w:sz w:val="28"/>
    </w:rPr>
  </w:style>
  <w:style w:styleId="Style_8" w:type="paragraph">
    <w:name w:val="toc 7"/>
    <w:next w:val="Style_4"/>
    <w:link w:val="Style_8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8_ch" w:type="character">
    <w:name w:val="toc 7"/>
    <w:link w:val="Style_8"/>
    <w:rPr>
      <w:rFonts w:ascii="XO Thames" w:hAnsi="XO Thames"/>
      <w:sz w:val="28"/>
    </w:rPr>
  </w:style>
  <w:style w:styleId="Style_9" w:type="paragraph">
    <w:name w:val="heading 3"/>
    <w:next w:val="Style_4"/>
    <w:link w:val="Style_9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9_ch" w:type="character">
    <w:name w:val="heading 3"/>
    <w:link w:val="Style_9"/>
    <w:rPr>
      <w:rFonts w:ascii="XO Thames" w:hAnsi="XO Thames"/>
      <w:b w:val="1"/>
      <w:sz w:val="26"/>
    </w:rPr>
  </w:style>
  <w:style w:styleId="Style_10" w:type="paragraph">
    <w:name w:val="Default Paragraph Font"/>
    <w:link w:val="Style_10_ch"/>
  </w:style>
  <w:style w:styleId="Style_10_ch" w:type="character">
    <w:name w:val="Default Paragraph Font"/>
    <w:link w:val="Style_10"/>
  </w:style>
  <w:style w:styleId="Style_11" w:type="paragraph">
    <w:name w:val="toc 3"/>
    <w:next w:val="Style_4"/>
    <w:link w:val="Style_11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1_ch" w:type="character">
    <w:name w:val="toc 3"/>
    <w:link w:val="Style_11"/>
    <w:rPr>
      <w:rFonts w:ascii="XO Thames" w:hAnsi="XO Thames"/>
      <w:sz w:val="28"/>
    </w:rPr>
  </w:style>
  <w:style w:styleId="Style_3" w:type="paragraph">
    <w:name w:val="Гипертекстовая ссылка"/>
    <w:basedOn w:val="Style_10"/>
    <w:link w:val="Style_3_ch"/>
    <w:rPr>
      <w:color w:val="106BBE"/>
    </w:rPr>
  </w:style>
  <w:style w:styleId="Style_3_ch" w:type="character">
    <w:name w:val="Гипертекстовая ссылка"/>
    <w:basedOn w:val="Style_10_ch"/>
    <w:link w:val="Style_3"/>
    <w:rPr>
      <w:color w:val="106BBE"/>
    </w:rPr>
  </w:style>
  <w:style w:styleId="Style_12" w:type="paragraph">
    <w:name w:val="heading 5"/>
    <w:next w:val="Style_4"/>
    <w:link w:val="Style_12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2_ch" w:type="character">
    <w:name w:val="heading 5"/>
    <w:link w:val="Style_12"/>
    <w:rPr>
      <w:rFonts w:ascii="XO Thames" w:hAnsi="XO Thames"/>
      <w:b w:val="1"/>
      <w:sz w:val="22"/>
    </w:rPr>
  </w:style>
  <w:style w:styleId="Style_1" w:type="paragraph">
    <w:name w:val="heading 1"/>
    <w:basedOn w:val="Style_4"/>
    <w:link w:val="Style_1_ch"/>
    <w:uiPriority w:val="9"/>
    <w:qFormat/>
    <w:pPr>
      <w:spacing w:after="150" w:before="150"/>
      <w:ind/>
      <w:outlineLvl w:val="0"/>
    </w:pPr>
    <w:rPr>
      <w:b w:val="1"/>
      <w:color w:val="3D3D3D"/>
      <w:sz w:val="34"/>
    </w:rPr>
  </w:style>
  <w:style w:styleId="Style_1_ch" w:type="character">
    <w:name w:val="heading 1"/>
    <w:basedOn w:val="Style_4_ch"/>
    <w:link w:val="Style_1"/>
    <w:rPr>
      <w:b w:val="1"/>
      <w:color w:val="3D3D3D"/>
      <w:sz w:val="34"/>
    </w:rPr>
  </w:style>
  <w:style w:styleId="Style_13" w:type="paragraph">
    <w:name w:val="Hyperlink"/>
    <w:link w:val="Style_13_ch"/>
    <w:rPr>
      <w:color w:val="0000FF"/>
      <w:u w:val="single"/>
    </w:rPr>
  </w:style>
  <w:style w:styleId="Style_13_ch" w:type="character">
    <w:name w:val="Hyperlink"/>
    <w:link w:val="Style_13"/>
    <w:rPr>
      <w:color w:val="0000FF"/>
      <w:u w:val="single"/>
    </w:rPr>
  </w:style>
  <w:style w:styleId="Style_14" w:type="paragraph">
    <w:name w:val="Footnote"/>
    <w:link w:val="Style_14_ch"/>
    <w:pPr>
      <w:ind w:firstLine="851" w:left="0"/>
      <w:jc w:val="both"/>
    </w:pPr>
    <w:rPr>
      <w:rFonts w:ascii="XO Thames" w:hAnsi="XO Thames"/>
      <w:sz w:val="22"/>
    </w:rPr>
  </w:style>
  <w:style w:styleId="Style_14_ch" w:type="character">
    <w:name w:val="Footnote"/>
    <w:link w:val="Style_14"/>
    <w:rPr>
      <w:rFonts w:ascii="XO Thames" w:hAnsi="XO Thames"/>
      <w:sz w:val="22"/>
    </w:rPr>
  </w:style>
  <w:style w:styleId="Style_15" w:type="paragraph">
    <w:name w:val="toc 1"/>
    <w:next w:val="Style_4"/>
    <w:link w:val="Style_15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5_ch" w:type="character">
    <w:name w:val="toc 1"/>
    <w:link w:val="Style_15"/>
    <w:rPr>
      <w:rFonts w:ascii="XO Thames" w:hAnsi="XO Thames"/>
      <w:b w:val="1"/>
      <w:sz w:val="28"/>
    </w:rPr>
  </w:style>
  <w:style w:styleId="Style_16" w:type="paragraph">
    <w:name w:val="Header and Footer"/>
    <w:link w:val="Style_16_ch"/>
    <w:pPr>
      <w:spacing w:line="240" w:lineRule="auto"/>
      <w:ind/>
      <w:jc w:val="both"/>
    </w:pPr>
    <w:rPr>
      <w:rFonts w:ascii="XO Thames" w:hAnsi="XO Thames"/>
      <w:sz w:val="20"/>
    </w:rPr>
  </w:style>
  <w:style w:styleId="Style_16_ch" w:type="character">
    <w:name w:val="Header and Footer"/>
    <w:link w:val="Style_16"/>
    <w:rPr>
      <w:rFonts w:ascii="XO Thames" w:hAnsi="XO Thames"/>
      <w:sz w:val="20"/>
    </w:rPr>
  </w:style>
  <w:style w:styleId="Style_17" w:type="paragraph">
    <w:name w:val="toc 9"/>
    <w:next w:val="Style_4"/>
    <w:link w:val="Style_17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7_ch" w:type="character">
    <w:name w:val="toc 9"/>
    <w:link w:val="Style_17"/>
    <w:rPr>
      <w:rFonts w:ascii="XO Thames" w:hAnsi="XO Thames"/>
      <w:sz w:val="28"/>
    </w:rPr>
  </w:style>
  <w:style w:styleId="Style_18" w:type="paragraph">
    <w:name w:val="toc 8"/>
    <w:next w:val="Style_4"/>
    <w:link w:val="Style_18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8_ch" w:type="character">
    <w:name w:val="toc 8"/>
    <w:link w:val="Style_18"/>
    <w:rPr>
      <w:rFonts w:ascii="XO Thames" w:hAnsi="XO Thames"/>
      <w:sz w:val="28"/>
    </w:rPr>
  </w:style>
  <w:style w:styleId="Style_2" w:type="paragraph">
    <w:name w:val="Normal (Web)"/>
    <w:basedOn w:val="Style_4"/>
    <w:link w:val="Style_2_ch"/>
    <w:pPr>
      <w:spacing w:afterAutospacing="on" w:beforeAutospacing="on"/>
      <w:ind/>
    </w:pPr>
  </w:style>
  <w:style w:styleId="Style_2_ch" w:type="character">
    <w:name w:val="Normal (Web)"/>
    <w:basedOn w:val="Style_4_ch"/>
    <w:link w:val="Style_2"/>
  </w:style>
  <w:style w:styleId="Style_19" w:type="paragraph">
    <w:name w:val="toc 5"/>
    <w:next w:val="Style_4"/>
    <w:link w:val="Style_19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9_ch" w:type="character">
    <w:name w:val="toc 5"/>
    <w:link w:val="Style_19"/>
    <w:rPr>
      <w:rFonts w:ascii="XO Thames" w:hAnsi="XO Thames"/>
      <w:sz w:val="28"/>
    </w:rPr>
  </w:style>
  <w:style w:styleId="Style_20" w:type="paragraph">
    <w:name w:val="Subtitle"/>
    <w:next w:val="Style_4"/>
    <w:link w:val="Style_20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0_ch" w:type="character">
    <w:name w:val="Subtitle"/>
    <w:link w:val="Style_20"/>
    <w:rPr>
      <w:rFonts w:ascii="XO Thames" w:hAnsi="XO Thames"/>
      <w:i w:val="1"/>
      <w:sz w:val="24"/>
    </w:rPr>
  </w:style>
  <w:style w:styleId="Style_21" w:type="paragraph">
    <w:name w:val="Title"/>
    <w:next w:val="Style_4"/>
    <w:link w:val="Style_21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1_ch" w:type="character">
    <w:name w:val="Title"/>
    <w:link w:val="Style_21"/>
    <w:rPr>
      <w:rFonts w:ascii="XO Thames" w:hAnsi="XO Thames"/>
      <w:b w:val="1"/>
      <w:caps w:val="1"/>
      <w:sz w:val="40"/>
    </w:rPr>
  </w:style>
  <w:style w:styleId="Style_22" w:type="paragraph">
    <w:name w:val="heading 4"/>
    <w:next w:val="Style_4"/>
    <w:link w:val="Style_22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2_ch" w:type="character">
    <w:name w:val="heading 4"/>
    <w:link w:val="Style_22"/>
    <w:rPr>
      <w:rFonts w:ascii="XO Thames" w:hAnsi="XO Thames"/>
      <w:b w:val="1"/>
      <w:sz w:val="24"/>
    </w:rPr>
  </w:style>
  <w:style w:styleId="Style_23" w:type="paragraph">
    <w:name w:val="heading 2"/>
    <w:next w:val="Style_4"/>
    <w:link w:val="Style_23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3_ch" w:type="character">
    <w:name w:val="heading 2"/>
    <w:link w:val="Style_23"/>
    <w:rPr>
      <w:rFonts w:ascii="XO Thames" w:hAnsi="XO Thames"/>
      <w:b w:val="1"/>
      <w:sz w:val="28"/>
    </w:rPr>
  </w:style>
  <w:style w:default="1" w:styleId="Style_2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numbering.xml" Type="http://schemas.openxmlformats.org/officeDocument/2006/relationships/numbering"/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2023-08-09T11:17:51Z</dcterms:modified>
</cp:coreProperties>
</file>