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СВОДНЫЙ ОТЧЕТ</w:t>
      </w:r>
    </w:p>
    <w:p w14:paraId="03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14:paraId="04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14:paraId="05000000">
      <w:pPr>
        <w:pStyle w:val="Style_2"/>
        <w:rPr>
          <w:rFonts w:ascii="Times New Roman" w:hAnsi="Times New Roman"/>
          <w:sz w:val="28"/>
        </w:rPr>
      </w:pPr>
    </w:p>
    <w:p w14:paraId="06000000">
      <w:pPr>
        <w:pStyle w:val="Style_2"/>
        <w:rPr>
          <w:rFonts w:ascii="Times New Roman" w:hAnsi="Times New Roman"/>
          <w:sz w:val="28"/>
        </w:rPr>
      </w:pPr>
    </w:p>
    <w:p w14:paraId="07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Общая информация</w:t>
      </w:r>
    </w:p>
    <w:p w14:paraId="08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 Регулирующий орган: </w:t>
      </w:r>
      <w:r>
        <w:rPr>
          <w:rFonts w:ascii="Times New Roman" w:hAnsi="Times New Roman"/>
          <w:sz w:val="28"/>
        </w:rPr>
        <w:t xml:space="preserve">Управление образования администрации </w:t>
      </w:r>
      <w:r>
        <w:rPr>
          <w:rFonts w:ascii="Times New Roman" w:hAnsi="Times New Roman"/>
          <w:sz w:val="28"/>
        </w:rPr>
        <w:t>муниципального образования Выселковский район.</w:t>
      </w:r>
    </w:p>
    <w:p w14:paraId="09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 Вид и наименование проекта муниципального нормативного правового акта:</w:t>
      </w:r>
      <w:bookmarkStart w:id="1" w:name="_Hlk511038086"/>
      <w:r>
        <w:rPr>
          <w:rFonts w:ascii="Times New Roman" w:hAnsi="Times New Roman"/>
          <w:sz w:val="28"/>
        </w:rPr>
        <w:t xml:space="preserve"> проект постановления администрации муниципального образования Выселковский район</w:t>
      </w:r>
      <w:bookmarkStart w:id="2" w:name="_Hlk491332889"/>
      <w:r>
        <w:rPr>
          <w:rFonts w:ascii="Times New Roman" w:hAnsi="Times New Roman"/>
          <w:sz w:val="28"/>
        </w:rPr>
        <w:t xml:space="preserve"> «</w:t>
      </w:r>
      <w:bookmarkStart w:id="3" w:name="_Hlk509823976"/>
      <w:bookmarkEnd w:id="2"/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</w:t>
      </w:r>
      <w:r>
        <w:rPr>
          <w:rFonts w:ascii="Times New Roman" w:hAnsi="Times New Roman"/>
          <w:sz w:val="28"/>
        </w:rPr>
        <w:t xml:space="preserve"> о возмещении затрат, связанных </w:t>
      </w:r>
      <w:r>
        <w:rPr>
          <w:rFonts w:ascii="Times New Roman" w:hAnsi="Times New Roman"/>
          <w:sz w:val="28"/>
        </w:rPr>
        <w:t>с оказанием муниципальных услуг в социальной сфере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социальным сертификатом</w:t>
      </w:r>
      <w:r>
        <w:rPr>
          <w:rFonts w:ascii="Times New Roman" w:hAnsi="Times New Roman"/>
          <w:sz w:val="28"/>
        </w:rPr>
        <w:t>»</w:t>
      </w:r>
      <w:bookmarkEnd w:id="3"/>
      <w:r>
        <w:rPr>
          <w:rFonts w:ascii="Times New Roman" w:hAnsi="Times New Roman"/>
          <w:sz w:val="28"/>
        </w:rPr>
        <w:t>.</w:t>
      </w:r>
      <w:bookmarkEnd w:id="1"/>
    </w:p>
    <w:p w14:paraId="0A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 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</w:rPr>
        <w:t xml:space="preserve">август </w:t>
      </w:r>
      <w:r>
        <w:rPr>
          <w:rFonts w:ascii="Times New Roman" w:hAnsi="Times New Roman"/>
          <w:sz w:val="28"/>
        </w:rPr>
        <w:t>2023 года, со дня обнародования.</w:t>
      </w:r>
    </w:p>
    <w:p w14:paraId="0B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1.4. Краткое описание проблемы, на решение которой направлено предлагаемое правовое регулирование: невозможность  </w:t>
      </w:r>
      <w:r>
        <w:rPr>
          <w:rFonts w:ascii="Times New Roman" w:hAnsi="Times New Roman"/>
          <w:sz w:val="28"/>
        </w:rPr>
        <w:t>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</w:t>
      </w:r>
      <w:r>
        <w:rPr>
          <w:rFonts w:ascii="Times New Roman" w:hAnsi="Times New Roman"/>
          <w:sz w:val="28"/>
        </w:rPr>
        <w:t xml:space="preserve"> о возмещении затрат, связанных </w:t>
      </w:r>
      <w:r>
        <w:rPr>
          <w:rFonts w:ascii="Times New Roman" w:hAnsi="Times New Roman"/>
          <w:sz w:val="28"/>
        </w:rPr>
        <w:t>с оказанием муниципальных услуг в социальной сфере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социальным сертификатом</w:t>
      </w:r>
      <w:r>
        <w:rPr>
          <w:rFonts w:ascii="Times New Roman" w:hAnsi="Times New Roman"/>
          <w:sz w:val="28"/>
        </w:rPr>
        <w:t>.</w:t>
      </w:r>
    </w:p>
    <w:p w14:paraId="0C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Принятие вышеуказанного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sz w:val="28"/>
        </w:rPr>
        <w:t xml:space="preserve">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Бюджетного кодекса Российской Федерации</w:t>
      </w:r>
      <w:r>
        <w:rPr>
          <w:rFonts w:ascii="Times New Roman" w:hAnsi="Times New Roman"/>
          <w:sz w:val="28"/>
        </w:rPr>
        <w:t>.</w:t>
      </w:r>
    </w:p>
    <w:p w14:paraId="0D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 Краткое описание целей предполагаемого правового регулирования: </w:t>
      </w:r>
      <w:r>
        <w:rPr>
          <w:rFonts w:ascii="Times New Roman" w:hAnsi="Times New Roman"/>
          <w:sz w:val="28"/>
        </w:rPr>
        <w:t>предоставление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</w:t>
      </w:r>
      <w:r>
        <w:rPr>
          <w:rFonts w:ascii="Times New Roman" w:hAnsi="Times New Roman"/>
          <w:sz w:val="28"/>
        </w:rPr>
        <w:t xml:space="preserve"> о возмещении затрат, связанных </w:t>
      </w:r>
      <w:r>
        <w:rPr>
          <w:rFonts w:ascii="Times New Roman" w:hAnsi="Times New Roman"/>
          <w:sz w:val="28"/>
        </w:rPr>
        <w:t>с оказанием муниципальных услуг в социальной сфере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социальным сертификатом</w:t>
      </w:r>
      <w:r>
        <w:rPr>
          <w:rFonts w:ascii="Times New Roman" w:hAnsi="Times New Roman"/>
          <w:sz w:val="28"/>
        </w:rPr>
        <w:t>.</w:t>
      </w:r>
    </w:p>
    <w:p w14:paraId="0E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 Краткое описание содержания предлагаемого правового регулирования: </w:t>
      </w:r>
      <w:r>
        <w:rPr>
          <w:rFonts w:ascii="Times New Roman" w:hAnsi="Times New Roman"/>
          <w:sz w:val="28"/>
        </w:rPr>
        <w:t xml:space="preserve">Утверждение </w:t>
      </w:r>
      <w:r>
        <w:rPr>
          <w:rFonts w:ascii="Times New Roman" w:hAnsi="Times New Roman"/>
          <w:sz w:val="28"/>
        </w:rPr>
        <w:t>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</w:t>
      </w:r>
      <w:r>
        <w:rPr>
          <w:rFonts w:ascii="Times New Roman" w:hAnsi="Times New Roman"/>
          <w:sz w:val="28"/>
        </w:rPr>
        <w:t xml:space="preserve"> о возмещении затрат, связанных </w:t>
      </w:r>
      <w:r>
        <w:rPr>
          <w:rFonts w:ascii="Times New Roman" w:hAnsi="Times New Roman"/>
          <w:sz w:val="28"/>
        </w:rPr>
        <w:t>с оказанием муниципальных услуг в социальной сфере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социальным сертификатом</w:t>
      </w:r>
      <w:r>
        <w:rPr>
          <w:rFonts w:ascii="Times New Roman" w:hAnsi="Times New Roman"/>
          <w:sz w:val="28"/>
        </w:rPr>
        <w:t>.</w:t>
      </w:r>
    </w:p>
    <w:p w14:paraId="0F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1.6.1.  Степень регулирующего воздействия  - высокая. </w:t>
      </w:r>
    </w:p>
    <w:p w14:paraId="10000000">
      <w:pPr>
        <w:pStyle w:val="Style_3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Обоснование  степени регулирующего воздействия: </w:t>
      </w:r>
      <w:r>
        <w:rPr>
          <w:rFonts w:ascii="Times New Roman" w:hAnsi="Times New Roman"/>
          <w:sz w:val="28"/>
        </w:rPr>
        <w:t xml:space="preserve">проект муниципального нормативного правового акта </w:t>
      </w:r>
      <w:r>
        <w:rPr>
          <w:rFonts w:ascii="Times New Roman" w:hAnsi="Times New Roman"/>
          <w:sz w:val="28"/>
        </w:rPr>
        <w:t>содержит положения, устанавливающие новые обязанности для субъектов предпринимательской и иной экономической деятельности.</w:t>
      </w:r>
    </w:p>
    <w:p w14:paraId="11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14:paraId="12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Ф.И.О.: </w:t>
      </w:r>
      <w:r>
        <w:rPr>
          <w:rFonts w:ascii="Times New Roman" w:hAnsi="Times New Roman"/>
          <w:sz w:val="28"/>
        </w:rPr>
        <w:t>Семина Лариса Алексеевна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начальник управления образования администрации </w:t>
      </w:r>
      <w:r>
        <w:rPr>
          <w:rFonts w:ascii="Times New Roman" w:hAnsi="Times New Roman"/>
          <w:sz w:val="28"/>
        </w:rPr>
        <w:t xml:space="preserve">муниципального образования Выселковский район, </w:t>
      </w:r>
    </w:p>
    <w:p w14:paraId="13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Тел.: 8 (861 57) 73-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98</w:t>
      </w:r>
    </w:p>
    <w:p w14:paraId="14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электронной почты: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"mailto:ruo@vis.kubannet.ru"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ruo@vis.kubannet.ru</w:t>
      </w:r>
      <w:r>
        <w:rPr>
          <w:rFonts w:ascii="Times New Roman" w:hAnsi="Times New Roman"/>
          <w:sz w:val="28"/>
        </w:rPr>
        <w:fldChar w:fldCharType="end"/>
      </w:r>
    </w:p>
    <w:p w14:paraId="15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 Описание проблемы, на решение которой направлено предлагаемое правовое регулирование: </w:t>
      </w:r>
      <w:r>
        <w:rPr>
          <w:rFonts w:ascii="Times New Roman" w:hAnsi="Times New Roman"/>
          <w:sz w:val="28"/>
        </w:rPr>
        <w:t>отсутствие нормативно правового акта</w:t>
      </w:r>
      <w:r>
        <w:rPr>
          <w:rFonts w:ascii="Times New Roman" w:hAnsi="Times New Roman"/>
          <w:sz w:val="28"/>
        </w:rPr>
        <w:t>.</w:t>
      </w:r>
    </w:p>
    <w:p w14:paraId="16000000">
      <w:pPr>
        <w:pStyle w:val="Style_2"/>
        <w:ind w:firstLine="709" w:left="0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2.1. Формулировка проблемы: </w:t>
      </w:r>
      <w:r>
        <w:rPr>
          <w:rFonts w:ascii="Times New Roman" w:hAnsi="Times New Roman"/>
          <w:sz w:val="28"/>
        </w:rPr>
        <w:t xml:space="preserve">невозможность  </w:t>
      </w:r>
      <w:r>
        <w:rPr>
          <w:rFonts w:ascii="Times New Roman" w:hAnsi="Times New Roman"/>
          <w:sz w:val="28"/>
        </w:rPr>
        <w:t>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</w:t>
      </w:r>
      <w:r>
        <w:rPr>
          <w:rFonts w:ascii="Times New Roman" w:hAnsi="Times New Roman"/>
          <w:sz w:val="28"/>
        </w:rPr>
        <w:t xml:space="preserve"> о возмещении затрат, связанных </w:t>
      </w:r>
      <w:r>
        <w:rPr>
          <w:rFonts w:ascii="Times New Roman" w:hAnsi="Times New Roman"/>
          <w:sz w:val="28"/>
        </w:rPr>
        <w:t>с оказанием муниципальных услуг в социальной сфере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социальным сертификатом</w:t>
      </w:r>
      <w:r>
        <w:rPr>
          <w:rFonts w:ascii="Times New Roman" w:hAnsi="Times New Roman"/>
          <w:sz w:val="28"/>
          <w:highlight w:val="white"/>
        </w:rPr>
        <w:t>.</w:t>
      </w:r>
    </w:p>
    <w:p w14:paraId="17000000">
      <w:pPr>
        <w:pStyle w:val="Style_2"/>
        <w:ind w:firstLine="709" w:left="0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>2.2. Информация о возникновении, выявлении проблемы и мерах, принятых ранее для ее решения, достигнутых результатах и затраченных ресурсах: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ринятие вышеуказанного постановления администрации муниципального образован</w:t>
      </w:r>
      <w:r>
        <w:rPr>
          <w:rFonts w:ascii="Times New Roman" w:hAnsi="Times New Roman"/>
          <w:sz w:val="28"/>
        </w:rPr>
        <w:t xml:space="preserve">ия Выселковский район обусловлено необходимостью реализации </w:t>
      </w:r>
      <w:r>
        <w:rPr>
          <w:rFonts w:ascii="Times New Roman" w:hAnsi="Times New Roman"/>
          <w:sz w:val="28"/>
        </w:rPr>
        <w:t xml:space="preserve">Федерального закона от 13 июля 2020 года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№ 189-ФЗ «О государственном (муниципальном) социальном заказе на оказание государственных (муниципальных) услуг в социальной сфере»</w:t>
      </w:r>
      <w:r>
        <w:rPr>
          <w:rFonts w:ascii="Times New Roman" w:hAnsi="Times New Roman"/>
          <w:sz w:val="28"/>
          <w:highlight w:val="white"/>
        </w:rPr>
        <w:t>.</w:t>
      </w:r>
    </w:p>
    <w:p w14:paraId="18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 Субъекты общественных отношений, заинтересованные                            в устранении проблемы, их количественная оценка: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юридически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лица, индивидуальны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предпринимател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, физически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лица – производител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товаров, работ, услуг, оказывающие муниципальные услуги в социальной сфере в соответствии с социальным сертификатом. Количественная оценка </w:t>
      </w:r>
      <w:r>
        <w:rPr>
          <w:rFonts w:ascii="Times New Roman" w:hAnsi="Times New Roman"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не ограниченно</w:t>
      </w:r>
      <w:r>
        <w:rPr>
          <w:rFonts w:ascii="Times New Roman" w:hAnsi="Times New Roman"/>
          <w:sz w:val="28"/>
        </w:rPr>
        <w:t>.</w:t>
      </w:r>
    </w:p>
    <w:p w14:paraId="19000000">
      <w:pPr>
        <w:pStyle w:val="Style_2"/>
        <w:ind w:firstLine="851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2.4. Характеристика негативных эффектов, возникающих в связи                   с наличием проблемы, их количественная оценка: </w:t>
      </w:r>
      <w:r>
        <w:rPr>
          <w:rFonts w:ascii="Times New Roman" w:hAnsi="Times New Roman"/>
          <w:sz w:val="28"/>
        </w:rPr>
        <w:t xml:space="preserve">невозможность  </w:t>
      </w:r>
      <w:r>
        <w:rPr>
          <w:rFonts w:ascii="Times New Roman" w:hAnsi="Times New Roman"/>
          <w:sz w:val="28"/>
        </w:rPr>
        <w:t>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</w:t>
      </w:r>
      <w:r>
        <w:rPr>
          <w:rFonts w:ascii="Times New Roman" w:hAnsi="Times New Roman"/>
          <w:sz w:val="28"/>
        </w:rPr>
        <w:t xml:space="preserve"> о возмещении затрат, связанных </w:t>
      </w:r>
      <w:r>
        <w:rPr>
          <w:rFonts w:ascii="Times New Roman" w:hAnsi="Times New Roman"/>
          <w:sz w:val="28"/>
        </w:rPr>
        <w:t>с оказанием муниципальных услуг в социальной сфере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соответствии с социальным сертификатом 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b w:val="0"/>
          <w:sz w:val="28"/>
        </w:rPr>
        <w:t xml:space="preserve">исполнения муниципального социального заказа на оказание </w:t>
      </w:r>
      <w:r>
        <w:rPr>
          <w:rFonts w:ascii="Times New Roman" w:hAnsi="Times New Roman"/>
          <w:b w:val="0"/>
          <w:sz w:val="28"/>
        </w:rPr>
        <w:t xml:space="preserve">муниципальной услуги в социальной сфере «Реализация дополнительных общеразвивающих программ» </w:t>
      </w:r>
      <w:r>
        <w:rPr>
          <w:rFonts w:ascii="Times New Roman" w:hAnsi="Times New Roman"/>
          <w:b w:val="0"/>
          <w:sz w:val="28"/>
        </w:rPr>
        <w:t xml:space="preserve"> в соответствии с социальным сертификатом.</w:t>
      </w:r>
    </w:p>
    <w:p w14:paraId="1A000000">
      <w:pPr>
        <w:pStyle w:val="Style_2"/>
        <w:ind w:firstLine="709" w:left="0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7"/>
        </w:rPr>
        <w:t>2.5. </w:t>
      </w:r>
      <w:r>
        <w:rPr>
          <w:rFonts w:ascii="Times New Roman" w:hAnsi="Times New Roman"/>
          <w:sz w:val="28"/>
        </w:rPr>
        <w:t xml:space="preserve">Причины возникновения проблемы и факторы, поддерживающие ее существование: принятие </w:t>
      </w:r>
      <w:r>
        <w:rPr>
          <w:rFonts w:ascii="Times New Roman" w:hAnsi="Times New Roman"/>
          <w:sz w:val="28"/>
        </w:rPr>
        <w:t>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</w:t>
      </w:r>
      <w:r>
        <w:rPr>
          <w:rFonts w:ascii="Times New Roman" w:hAnsi="Times New Roman"/>
          <w:sz w:val="28"/>
          <w:highlight w:val="white"/>
        </w:rPr>
        <w:t>.</w:t>
      </w:r>
    </w:p>
    <w:p w14:paraId="1B000000">
      <w:pPr>
        <w:pStyle w:val="Style_2"/>
        <w:ind w:firstLine="709" w:left="0"/>
        <w:jc w:val="both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28"/>
        </w:rPr>
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относится к компетенции органов местного самоуправления.</w:t>
      </w:r>
    </w:p>
    <w:p w14:paraId="1C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</w:t>
      </w:r>
      <w:r>
        <w:rPr>
          <w:rFonts w:ascii="Times New Roman" w:hAnsi="Times New Roman"/>
          <w:sz w:val="28"/>
        </w:rPr>
        <w:t xml:space="preserve">принимают </w:t>
      </w:r>
      <w:r>
        <w:rPr>
          <w:rFonts w:ascii="Times New Roman" w:hAnsi="Times New Roman"/>
          <w:sz w:val="28"/>
        </w:rPr>
        <w:t xml:space="preserve">аналогичные </w:t>
      </w:r>
      <w:r>
        <w:rPr>
          <w:rFonts w:ascii="Times New Roman" w:hAnsi="Times New Roman"/>
          <w:sz w:val="28"/>
        </w:rPr>
        <w:t>нормативные правовые акты</w:t>
      </w:r>
      <w:r>
        <w:rPr>
          <w:rFonts w:ascii="Times New Roman" w:hAnsi="Times New Roman"/>
          <w:sz w:val="28"/>
        </w:rPr>
        <w:t>.</w:t>
      </w:r>
    </w:p>
    <w:p w14:paraId="1D000000">
      <w:pPr>
        <w:pStyle w:val="Style_3"/>
        <w:ind w:firstLine="708" w:left="0"/>
        <w:jc w:val="both"/>
        <w:rPr>
          <w:rFonts w:ascii="Times New Roman" w:hAnsi="Times New Roman"/>
          <w:sz w:val="28"/>
        </w:rPr>
      </w:pPr>
      <w:bookmarkStart w:id="4" w:name="_Hlk511037802"/>
      <w:r>
        <w:rPr>
          <w:rFonts w:ascii="Times New Roman" w:hAnsi="Times New Roman"/>
          <w:sz w:val="28"/>
        </w:rPr>
        <w:t>2.8. Источники данных:</w:t>
      </w:r>
      <w:bookmarkEnd w:id="4"/>
      <w:r>
        <w:rPr>
          <w:rFonts w:ascii="Times New Roman" w:hAnsi="Times New Roman"/>
          <w:sz w:val="28"/>
        </w:rPr>
        <w:t xml:space="preserve"> информационно-телекоммуникационная сеть «Интернет».</w:t>
      </w:r>
    </w:p>
    <w:p w14:paraId="1E000000">
      <w:pPr>
        <w:pStyle w:val="Style_2"/>
        <w:ind w:firstLine="851" w:lef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2.9. Иная информация о проблеме: отсутствует.</w:t>
      </w:r>
    </w:p>
    <w:p w14:paraId="1F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bookmarkStart w:id="5" w:name="sub_10003"/>
      <w:r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5"/>
      <w:r>
        <w:rPr>
          <w:rFonts w:ascii="Times New Roman" w:hAnsi="Times New Roman"/>
          <w:sz w:val="28"/>
        </w:rPr>
        <w:t>:</w:t>
      </w:r>
    </w:p>
    <w:p w14:paraId="20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616"/>
        <w:gridCol w:w="2693"/>
        <w:gridCol w:w="3334"/>
      </w:tblGrid>
      <w:tr>
        <w:trPr>
          <w:trHeight w:hRule="atLeast" w:val="1647"/>
        </w:trPr>
        <w:tc>
          <w:tcPr>
            <w:tcW w:type="dxa" w:w="3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3.1. Цели предлагаемого правового регулирования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6" w:name="sub_100032"/>
            <w:r>
              <w:rPr>
                <w:rFonts w:ascii="Times New Roman" w:hAnsi="Times New Roman"/>
                <w:sz w:val="26"/>
              </w:rPr>
              <w:t>3.2. Сроки достижения целей предлагаемого правового регулирования</w:t>
            </w:r>
            <w:bookmarkEnd w:id="6"/>
          </w:p>
        </w:tc>
        <w:tc>
          <w:tcPr>
            <w:tcW w:type="dxa" w:w="3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rPr>
          <w:trHeight w:hRule="atLeast" w:val="3470"/>
        </w:trPr>
        <w:tc>
          <w:tcPr>
            <w:tcW w:type="dxa" w:w="3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юридическим лицам, и</w:t>
            </w:r>
            <w:r>
              <w:rPr>
                <w:rFonts w:ascii="Times New Roman" w:hAnsi="Times New Roman"/>
                <w:sz w:val="24"/>
              </w:rPr>
              <w:t xml:space="preserve">ндивидуальным предпринимателям, </w:t>
            </w:r>
            <w:r>
              <w:rPr>
                <w:rFonts w:ascii="Times New Roman" w:hAnsi="Times New Roman"/>
                <w:sz w:val="24"/>
              </w:rPr>
              <w:t>физическим лицам – произ</w:t>
            </w:r>
            <w:r>
              <w:rPr>
                <w:rFonts w:ascii="Times New Roman" w:hAnsi="Times New Roman"/>
                <w:sz w:val="24"/>
              </w:rPr>
              <w:t xml:space="preserve">водителям товаров, работ, услуг </w:t>
            </w:r>
            <w:r>
              <w:rPr>
                <w:rFonts w:ascii="Times New Roman" w:hAnsi="Times New Roman"/>
                <w:sz w:val="24"/>
              </w:rPr>
              <w:t>на оплату соглашения</w:t>
            </w:r>
            <w:r>
              <w:rPr>
                <w:rFonts w:ascii="Times New Roman" w:hAnsi="Times New Roman"/>
                <w:sz w:val="24"/>
              </w:rPr>
              <w:t xml:space="preserve"> о возмещении затрат, связанных </w:t>
            </w:r>
            <w:r>
              <w:rPr>
                <w:rFonts w:ascii="Times New Roman" w:hAnsi="Times New Roman"/>
                <w:sz w:val="24"/>
              </w:rPr>
              <w:t>с оказанием муниципальных услуг в социальной сфере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 соответствии с социальным сертификатом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00000">
            <w:pPr>
              <w:pStyle w:val="Style_6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даты вступления в силу настоящего постановления</w:t>
            </w:r>
          </w:p>
        </w:tc>
        <w:tc>
          <w:tcPr>
            <w:tcW w:type="dxa" w:w="3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pStyle w:val="Style_6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мониторинге достижения цели не нуждается</w:t>
            </w:r>
          </w:p>
        </w:tc>
      </w:tr>
    </w:tbl>
    <w:p w14:paraId="27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28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 </w:t>
      </w:r>
      <w:r>
        <w:rPr>
          <w:rFonts w:ascii="Times New Roman" w:hAnsi="Times New Roman"/>
          <w:sz w:val="28"/>
        </w:rPr>
        <w:t>Федеральный</w:t>
      </w:r>
      <w:r>
        <w:rPr>
          <w:rFonts w:ascii="Times New Roman" w:hAnsi="Times New Roman"/>
          <w:sz w:val="28"/>
        </w:rPr>
        <w:t xml:space="preserve"> закон от 13 июля 2020 года № 189-ФЗ «О государственном (муниципальном) социальном заказе на оказание государственных (муниципальных) услуг в социальной сфере»</w:t>
      </w:r>
      <w:r>
        <w:rPr>
          <w:rFonts w:ascii="Times New Roman" w:hAnsi="Times New Roman"/>
          <w:sz w:val="28"/>
          <w:highlight w:val="white"/>
        </w:rPr>
        <w:t>.</w:t>
      </w:r>
    </w:p>
    <w:p w14:paraId="29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  <w:u w:val="single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119"/>
        <w:gridCol w:w="2410"/>
        <w:gridCol w:w="1889"/>
        <w:gridCol w:w="2108"/>
      </w:tblGrid>
      <w:tr>
        <w:trPr>
          <w:trHeight w:hRule="atLeast" w:val="1677"/>
        </w:trPr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3.5. Цели предлагаемого правового регулирования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7" w:name="sub_100036"/>
            <w:r>
              <w:rPr>
                <w:rFonts w:ascii="Times New Roman" w:hAnsi="Times New Roman"/>
                <w:sz w:val="26"/>
              </w:rPr>
              <w:t>3.6. Индикаторы достижения целей предлагаемого правового регулирования</w:t>
            </w:r>
            <w:bookmarkEnd w:id="7"/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3.7. Единица измерения индикаторов</w:t>
            </w: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3.8. Целевые значения индикаторов по годам</w:t>
            </w:r>
          </w:p>
        </w:tc>
      </w:tr>
      <w:tr>
        <w:trPr>
          <w:trHeight w:hRule="atLeast" w:val="4242"/>
        </w:trPr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юридическим лицам, и</w:t>
            </w:r>
            <w:r>
              <w:rPr>
                <w:rFonts w:ascii="Times New Roman" w:hAnsi="Times New Roman"/>
                <w:sz w:val="24"/>
              </w:rPr>
              <w:t xml:space="preserve">ндивидуальным предпринимателям, </w:t>
            </w:r>
            <w:r>
              <w:rPr>
                <w:rFonts w:ascii="Times New Roman" w:hAnsi="Times New Roman"/>
                <w:sz w:val="24"/>
              </w:rPr>
              <w:t>физическим лицам – произ</w:t>
            </w:r>
            <w:r>
              <w:rPr>
                <w:rFonts w:ascii="Times New Roman" w:hAnsi="Times New Roman"/>
                <w:sz w:val="24"/>
              </w:rPr>
              <w:t xml:space="preserve">водителям товаров, работ, услуг </w:t>
            </w:r>
            <w:r>
              <w:rPr>
                <w:rFonts w:ascii="Times New Roman" w:hAnsi="Times New Roman"/>
                <w:sz w:val="24"/>
              </w:rPr>
              <w:t>на оплату соглашения</w:t>
            </w:r>
            <w:r>
              <w:rPr>
                <w:rFonts w:ascii="Times New Roman" w:hAnsi="Times New Roman"/>
                <w:sz w:val="24"/>
              </w:rPr>
              <w:t xml:space="preserve"> о возмещении затрат, связанных </w:t>
            </w:r>
            <w:r>
              <w:rPr>
                <w:rFonts w:ascii="Times New Roman" w:hAnsi="Times New Roman"/>
                <w:sz w:val="24"/>
              </w:rPr>
              <w:t>с оказанием муниципальных услуг в социальной сфере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 соответствии с социальным сертификатом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принятие постановления администрации муниципального образования Выселковский район «</w:t>
            </w:r>
            <w:r>
              <w:rPr>
                <w:rFonts w:ascii="Times New Roman" w:hAnsi="Times New Roman"/>
              </w:rPr>
              <w:t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принято/не принято постановление администрации муниципального образования Выселковский район</w:t>
            </w: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pStyle w:val="Style_6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август</w:t>
            </w:r>
            <w:r>
              <w:rPr>
                <w:rFonts w:ascii="Times New Roman" w:hAnsi="Times New Roman"/>
              </w:rPr>
              <w:t xml:space="preserve"> 2023 г. - принято постановление администрации муниципального образования Выселковский район (дата, номер акта)</w:t>
            </w:r>
          </w:p>
        </w:tc>
      </w:tr>
    </w:tbl>
    <w:p w14:paraId="32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3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3.9. Методы расчета индикаторов достижения целей предлагаемого правового регулирования, источники информации для расчетов: принятие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</w:t>
      </w:r>
      <w:r>
        <w:rPr>
          <w:rFonts w:ascii="Times New Roman" w:hAnsi="Times New Roman"/>
          <w:sz w:val="28"/>
        </w:rPr>
        <w:t xml:space="preserve"> о возмещении затрат, связанных </w:t>
      </w:r>
      <w:r>
        <w:rPr>
          <w:rFonts w:ascii="Times New Roman" w:hAnsi="Times New Roman"/>
          <w:sz w:val="28"/>
        </w:rPr>
        <w:t>с оказанием муниципальных услуг в социальной сфере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социальным сертификатом</w:t>
      </w:r>
      <w:r>
        <w:rPr>
          <w:rFonts w:ascii="Times New Roman" w:hAnsi="Times New Roman"/>
          <w:sz w:val="28"/>
        </w:rPr>
        <w:t>».</w:t>
      </w:r>
    </w:p>
    <w:p w14:paraId="34000000">
      <w:pPr>
        <w:pStyle w:val="Style_2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14:paraId="35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36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5250"/>
        <w:gridCol w:w="2349"/>
        <w:gridCol w:w="2073"/>
      </w:tblGrid>
      <w:tr>
        <w:trPr>
          <w:trHeight w:hRule="atLeast" w:val="1532"/>
        </w:trPr>
        <w:tc>
          <w:tcPr>
            <w:tcW w:type="dxa" w:w="5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8" w:name="sub_100041"/>
            <w:r>
              <w:rPr>
                <w:rFonts w:ascii="Times New Roman" w:hAnsi="Times New Roman"/>
                <w:sz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8"/>
          </w:p>
        </w:tc>
        <w:tc>
          <w:tcPr>
            <w:tcW w:type="dxa" w:w="2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4.2. Количество участников группы</w:t>
            </w:r>
          </w:p>
        </w:tc>
        <w:tc>
          <w:tcPr>
            <w:tcW w:type="dxa" w:w="20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4.3. Источники данных</w:t>
            </w:r>
          </w:p>
        </w:tc>
      </w:tr>
      <w:tr>
        <w:trPr>
          <w:trHeight w:hRule="atLeast" w:val="1270"/>
        </w:trPr>
        <w:tc>
          <w:tcPr>
            <w:tcW w:type="dxa" w:w="5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юридически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лица, индивидуальны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предпринимател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, физически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лица – производител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товаров, работ, услуг, оказывающие муниципальные услуги в социальной сфере в соответствии с социальным сертификатом</w:t>
            </w:r>
          </w:p>
        </w:tc>
        <w:tc>
          <w:tcPr>
            <w:tcW w:type="dxa" w:w="2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ограничено</w:t>
            </w:r>
          </w:p>
        </w:tc>
        <w:tc>
          <w:tcPr>
            <w:tcW w:type="dxa" w:w="20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</w:tbl>
    <w:p w14:paraId="3D000000">
      <w:pPr>
        <w:pStyle w:val="Style_2"/>
        <w:ind w:firstLine="708" w:left="0"/>
        <w:jc w:val="both"/>
        <w:rPr>
          <w:rFonts w:ascii="Times New Roman" w:hAnsi="Times New Roman"/>
          <w:sz w:val="24"/>
        </w:rPr>
      </w:pPr>
    </w:p>
    <w:p w14:paraId="3E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 xml:space="preserve">5. Изменение функций (полномочий, обязанностей, прав) органов местного самоуправления муниципального образования Выселковский район, а </w:t>
      </w:r>
      <w:r>
        <w:rPr>
          <w:rFonts w:ascii="Times New Roman" w:hAnsi="Times New Roman"/>
          <w:sz w:val="28"/>
        </w:rPr>
        <w:t>также порядка их реализации в связи с введением предлагаемого правового регулирования:</w:t>
      </w:r>
    </w:p>
    <w:p w14:paraId="3F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</w:p>
    <w:p w14:paraId="40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006"/>
        <w:gridCol w:w="1559"/>
        <w:gridCol w:w="1697"/>
        <w:gridCol w:w="180"/>
        <w:gridCol w:w="1667"/>
        <w:gridCol w:w="1559"/>
      </w:tblGrid>
      <w:tr>
        <w:trPr>
          <w:trHeight w:hRule="atLeast" w:val="2542"/>
        </w:trPr>
        <w:tc>
          <w:tcPr>
            <w:tcW w:type="dxa" w:w="3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bookmarkStart w:id="9" w:name="sub_100051"/>
            <w:r>
              <w:rPr>
                <w:rFonts w:ascii="Times New Roman" w:hAnsi="Times New Roman"/>
              </w:rPr>
              <w:t>5.1. Наименование функции (полномочия, обязанности</w:t>
            </w:r>
          </w:p>
          <w:p w14:paraId="42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или права)</w:t>
            </w:r>
            <w:bookmarkEnd w:id="9"/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 Характер функции (новая / изменяемая / отменяемая)</w:t>
            </w:r>
          </w:p>
        </w:tc>
        <w:tc>
          <w:tcPr>
            <w:tcW w:type="dxa" w:w="1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 Предполагаемый порядок реализации</w:t>
            </w:r>
          </w:p>
        </w:tc>
        <w:tc>
          <w:tcPr>
            <w:tcW w:type="dxa" w:w="184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5.5. Оценка изменения потребностей в других ресурсах</w:t>
            </w:r>
          </w:p>
        </w:tc>
      </w:tr>
      <w:tr>
        <w:trPr>
          <w:trHeight w:hRule="atLeast" w:val="314"/>
        </w:trPr>
        <w:tc>
          <w:tcPr>
            <w:tcW w:type="dxa" w:w="966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pStyle w:val="Style_2"/>
              <w:rPr>
                <w:rFonts w:ascii="Times New Roman" w:hAnsi="Times New Roman"/>
                <w:sz w:val="24"/>
              </w:rPr>
            </w:pPr>
          </w:p>
          <w:p w14:paraId="48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Администрация муниципального образования Выселковский район </w:t>
            </w:r>
          </w:p>
        </w:tc>
      </w:tr>
      <w:tr>
        <w:trPr>
          <w:trHeight w:hRule="atLeast" w:val="4526"/>
        </w:trPr>
        <w:tc>
          <w:tcPr>
            <w:tcW w:type="dxa" w:w="3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юридическим лицам, и</w:t>
            </w:r>
            <w:r>
              <w:rPr>
                <w:rFonts w:ascii="Times New Roman" w:hAnsi="Times New Roman"/>
                <w:sz w:val="24"/>
              </w:rPr>
              <w:t xml:space="preserve">ндивидуальным предпринимателям, </w:t>
            </w:r>
            <w:r>
              <w:rPr>
                <w:rFonts w:ascii="Times New Roman" w:hAnsi="Times New Roman"/>
                <w:sz w:val="24"/>
              </w:rPr>
              <w:t>физическим лицам – произ</w:t>
            </w:r>
            <w:r>
              <w:rPr>
                <w:rFonts w:ascii="Times New Roman" w:hAnsi="Times New Roman"/>
                <w:sz w:val="24"/>
              </w:rPr>
              <w:t xml:space="preserve">водителям товаров, работ, услуг </w:t>
            </w:r>
            <w:r>
              <w:rPr>
                <w:rFonts w:ascii="Times New Roman" w:hAnsi="Times New Roman"/>
                <w:sz w:val="24"/>
              </w:rPr>
              <w:t>на оплату соглашения</w:t>
            </w:r>
            <w:r>
              <w:rPr>
                <w:rFonts w:ascii="Times New Roman" w:hAnsi="Times New Roman"/>
                <w:sz w:val="24"/>
              </w:rPr>
              <w:t xml:space="preserve"> о возмещении затрат, связанных </w:t>
            </w:r>
            <w:r>
              <w:rPr>
                <w:rFonts w:ascii="Times New Roman" w:hAnsi="Times New Roman"/>
                <w:sz w:val="24"/>
              </w:rPr>
              <w:t>с оказанием муниципальных услуг в социальной сфере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 соответствии с социальным сертификатом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00000">
            <w:pPr>
              <w:pStyle w:val="Style_6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изменяется </w:t>
            </w:r>
          </w:p>
        </w:tc>
        <w:tc>
          <w:tcPr>
            <w:tcW w:type="dxa" w:w="1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spacing w:after="0" w:line="240" w:lineRule="auto"/>
              <w:ind/>
              <w:jc w:val="both"/>
              <w:outlineLv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Согласно </w:t>
            </w:r>
            <w:r>
              <w:rPr>
                <w:rFonts w:ascii="Times New Roman" w:hAnsi="Times New Roman"/>
                <w:sz w:val="20"/>
              </w:rPr>
              <w:t xml:space="preserve"> утвержденному Порядку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      </w:r>
          </w:p>
        </w:tc>
        <w:tc>
          <w:tcPr>
            <w:tcW w:type="dxa" w:w="1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00000">
            <w:pPr>
              <w:pStyle w:val="Style_7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пределах</w:t>
            </w:r>
          </w:p>
          <w:p w14:paraId="4D000000">
            <w:pPr>
              <w:pStyle w:val="Style_7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штатной</w:t>
            </w:r>
          </w:p>
          <w:p w14:paraId="4E000000">
            <w:pPr>
              <w:pStyle w:val="Style_7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численности</w:t>
            </w:r>
          </w:p>
          <w:p w14:paraId="4F000000">
            <w:pPr>
              <w:pStyle w:val="Style_7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сотрудников</w:t>
            </w:r>
          </w:p>
          <w:p w14:paraId="50000000">
            <w:pPr>
              <w:pStyle w:val="Style_7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службы АПК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00000">
            <w:pPr>
              <w:pStyle w:val="Style_7"/>
              <w:ind w:firstLine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</w:tr>
    </w:tbl>
    <w:p w14:paraId="52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53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 Оценка дополнительных расходов (доходов) местных бюджетов, связанных с введением предлагаемого правового регулирования: дополнительные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14:paraId="54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500"/>
        <w:gridCol w:w="3500"/>
        <w:gridCol w:w="2668"/>
      </w:tblGrid>
      <w:tr>
        <w:trPr>
          <w:trHeight w:hRule="atLeast" w:val="1887"/>
        </w:trPr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instrText>HYPERLINK \l "sub_100051"</w:instrTex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t>подпунктом 5.1 пункта 5</w: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6.3. Количественная оценка расходов и возможных поступлений, млн. рублей</w:t>
            </w:r>
          </w:p>
        </w:tc>
      </w:tr>
      <w:tr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</w:tr>
      <w:tr>
        <w:trPr>
          <w:trHeight w:hRule="atLeast" w:val="344"/>
        </w:trPr>
        <w:tc>
          <w:tcPr>
            <w:tcW w:type="dxa" w:w="966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pStyle w:val="Style_9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 xml:space="preserve">Администрация муниципального образования Выселковский район </w:t>
            </w:r>
          </w:p>
        </w:tc>
      </w:tr>
      <w:tr>
        <w:trPr>
          <w:trHeight w:hRule="atLeast" w:val="805"/>
        </w:trPr>
        <w:tc>
          <w:tcPr>
            <w:tcW w:type="dxa" w:w="35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r>
              <w:rPr>
                <w:rFonts w:ascii="Times New Roman" w:hAnsi="Times New Roman"/>
                <w:sz w:val="24"/>
              </w:rPr>
              <w:t>предоставление субсидии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юридическим лицам, и</w:t>
            </w:r>
            <w:r>
              <w:rPr>
                <w:rFonts w:ascii="Times New Roman" w:hAnsi="Times New Roman"/>
                <w:sz w:val="24"/>
              </w:rPr>
              <w:t xml:space="preserve">ндивидуальным предпринимателям, </w:t>
            </w:r>
            <w:r>
              <w:rPr>
                <w:rFonts w:ascii="Times New Roman" w:hAnsi="Times New Roman"/>
                <w:sz w:val="24"/>
              </w:rPr>
              <w:t>физическим лицам – произ</w:t>
            </w:r>
            <w:r>
              <w:rPr>
                <w:rFonts w:ascii="Times New Roman" w:hAnsi="Times New Roman"/>
                <w:sz w:val="24"/>
              </w:rPr>
              <w:t xml:space="preserve">водителям товаров, работ, услуг </w:t>
            </w:r>
            <w:r>
              <w:rPr>
                <w:rFonts w:ascii="Times New Roman" w:hAnsi="Times New Roman"/>
                <w:sz w:val="24"/>
              </w:rPr>
              <w:t>на оплату соглашения</w:t>
            </w:r>
            <w:r>
              <w:rPr>
                <w:rFonts w:ascii="Times New Roman" w:hAnsi="Times New Roman"/>
                <w:sz w:val="24"/>
              </w:rPr>
              <w:t xml:space="preserve"> о возмещении затрат, связанных </w:t>
            </w:r>
            <w:r>
              <w:rPr>
                <w:rFonts w:ascii="Times New Roman" w:hAnsi="Times New Roman"/>
                <w:sz w:val="24"/>
              </w:rPr>
              <w:t>с оказанием муниципальных услуг в социальной сфере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 соответствии с социальным сертификатом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единовременные расходы:</w:t>
            </w:r>
          </w:p>
          <w:p w14:paraId="5E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00000">
            <w:r>
              <w:t>---</w:t>
            </w:r>
          </w:p>
        </w:tc>
      </w:tr>
      <w:tr>
        <w:tc>
          <w:tcPr>
            <w:tcW w:type="dxa" w:w="35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периодические расходы ежегодно: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00000">
            <w:r>
              <w:t>---</w:t>
            </w:r>
          </w:p>
        </w:tc>
      </w:tr>
      <w:tr>
        <w:trPr>
          <w:trHeight w:hRule="atLeast" w:val="2090"/>
        </w:trPr>
        <w:tc>
          <w:tcPr>
            <w:tcW w:type="dxa" w:w="35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возможные доходы за период:</w:t>
            </w:r>
          </w:p>
          <w:p w14:paraId="63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00000">
            <w:r>
              <w:t>---</w:t>
            </w:r>
          </w:p>
        </w:tc>
      </w:tr>
      <w:tr>
        <w:trPr>
          <w:trHeight w:hRule="atLeast" w:val="599"/>
        </w:trP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pStyle w:val="Style_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единовременные расходы за период: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r>
              <w:t>---</w:t>
            </w:r>
          </w:p>
        </w:tc>
      </w:tr>
      <w:t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Итого периодические расходы за период: </w:t>
            </w:r>
          </w:p>
          <w:p w14:paraId="68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00000">
            <w:r>
              <w:t>---</w:t>
            </w:r>
          </w:p>
        </w:tc>
      </w:tr>
      <w:tr>
        <w:trPr>
          <w:trHeight w:hRule="atLeast" w:val="521"/>
        </w:trP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Итого возможные доходы за период: 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r>
              <w:t>---</w:t>
            </w:r>
          </w:p>
        </w:tc>
      </w:tr>
    </w:tbl>
    <w:p w14:paraId="6C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6D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14:paraId="6E000000">
      <w:pPr>
        <w:pStyle w:val="Style_2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6.5. Источники данных: отсутствуют.</w:t>
      </w:r>
    </w:p>
    <w:p w14:paraId="6F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70000000">
      <w:pPr>
        <w:pStyle w:val="Style_2"/>
        <w:ind/>
        <w:jc w:val="both"/>
        <w:rPr>
          <w:rFonts w:ascii="Times New Roman" w:hAnsi="Times New Roman"/>
          <w:sz w:val="28"/>
        </w:rPr>
      </w:pPr>
    </w:p>
    <w:tbl>
      <w:tblPr>
        <w:tblStyle w:val="Style_4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2552"/>
        <w:gridCol w:w="3852"/>
        <w:gridCol w:w="1931"/>
        <w:gridCol w:w="1304"/>
      </w:tblGrid>
      <w:tr>
        <w:trPr>
          <w:trHeight w:hRule="atLeast" w:val="3125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7.1. Группы потенциальных адресатов предлагаемого правового регулирования</w:t>
            </w:r>
          </w:p>
          <w:p w14:paraId="72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(в соответствии с </w: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instrText>HYPERLINK \l "sub_100041"</w:instrTex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t>подпунктом 4.1 пункта 4</w: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00000">
            <w:pPr>
              <w:pStyle w:val="Style_11"/>
              <w:spacing w:before="0" w:line="322" w:lineRule="exact"/>
              <w:ind w:firstLine="0" w:left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7.2. Новые обязательные требования, обязанности и ограничения, изменения</w:t>
            </w:r>
          </w:p>
          <w:p w14:paraId="74000000">
            <w:pPr>
              <w:pStyle w:val="Style_11"/>
              <w:spacing w:before="0" w:line="322" w:lineRule="exact"/>
              <w:ind w:firstLine="0" w:left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существующих обязательных требований, обязанностей и ограничений,</w:t>
            </w:r>
          </w:p>
          <w:p w14:paraId="75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7.4. Количественная оценка, млн. рублей</w:t>
            </w:r>
          </w:p>
        </w:tc>
      </w:tr>
      <w:t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</w:tr>
      <w:tr>
        <w:trPr>
          <w:trHeight w:hRule="atLeast" w:val="2579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r>
              <w:rPr>
                <w:rFonts w:ascii="Times New Roman" w:hAnsi="Times New Roman"/>
                <w:sz w:val="24"/>
              </w:rPr>
              <w:t>юридически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лица, индивидуальны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предпринимател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, физически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лица – производител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товаров, работ, услуг, оказывающие муниципальные услуги в социальной сфере в соответствии с социальным сертификатом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00000">
            <w:pPr>
              <w:pStyle w:val="Style_12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подготовка пакета документов на получение субсидий в соответствии с </w:t>
            </w:r>
            <w:r>
              <w:rPr>
                <w:rFonts w:ascii="Times New Roman" w:hAnsi="Times New Roman"/>
                <w:b w:val="0"/>
                <w:sz w:val="24"/>
              </w:rPr>
              <w:t>Порядком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      </w:r>
          </w:p>
          <w:p w14:paraId="7E000000">
            <w:pPr>
              <w:pStyle w:val="Style_5"/>
              <w:ind/>
              <w:jc w:val="left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подготовку пакета документов на получение субсидий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0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708,4 руб. на одного заявителя</w:t>
            </w:r>
          </w:p>
        </w:tc>
      </w:tr>
    </w:tbl>
    <w:p w14:paraId="81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p w14:paraId="82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7.5. Издержки и выгоды адресатов предлагаемого правового регулирования, не поддающиеся количественной </w:t>
      </w:r>
      <w:r>
        <w:rPr>
          <w:rFonts w:ascii="Times New Roman" w:hAnsi="Times New Roman"/>
          <w:sz w:val="28"/>
        </w:rPr>
        <w:t xml:space="preserve">оценке: издержки – на подготовку пакета документов, выгоды – получение субсидии </w:t>
      </w:r>
      <w:r>
        <w:rPr>
          <w:rFonts w:ascii="Times New Roman" w:hAnsi="Times New Roman"/>
          <w:b w:val="0"/>
          <w:sz w:val="28"/>
        </w:rPr>
        <w:t>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>
        <w:rPr>
          <w:rFonts w:ascii="Times New Roman" w:hAnsi="Times New Roman"/>
          <w:sz w:val="28"/>
        </w:rPr>
        <w:t xml:space="preserve">. </w:t>
      </w:r>
    </w:p>
    <w:p w14:paraId="83000000">
      <w:pPr>
        <w:tabs>
          <w:tab w:leader="none" w:pos="1027" w:val="left"/>
        </w:tabs>
        <w:spacing w:line="240" w:lineRule="auto"/>
        <w:ind w:firstLine="675" w:left="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</w:t>
      </w:r>
      <w:r>
        <w:rPr>
          <w:rFonts w:ascii="Times New Roman" w:hAnsi="Times New Roman"/>
          <w:sz w:val="28"/>
        </w:rPr>
        <w:t>среднего</w:t>
      </w:r>
      <w:r>
        <w:rPr>
          <w:rFonts w:ascii="Times New Roman" w:hAnsi="Times New Roman"/>
          <w:sz w:val="28"/>
        </w:rPr>
        <w:t xml:space="preserve"> уровня сложности (менее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5 стр. печатного текста), подачу пакета документов в уполномоченный орган в соответствии с требованиями проекта муниципального нормативного правового акта) и составляют примерно </w:t>
      </w:r>
      <w:r>
        <w:rPr>
          <w:rFonts w:ascii="Times New Roman" w:hAnsi="Times New Roman"/>
          <w:color w:themeColor="text1" w:val="000000"/>
          <w:sz w:val="28"/>
        </w:rPr>
        <w:t>708,4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руб. на одного заявителя.</w:t>
      </w:r>
    </w:p>
    <w:p w14:paraId="84000000">
      <w:pPr>
        <w:tabs>
          <w:tab w:leader="none" w:pos="1027" w:val="left"/>
        </w:tabs>
        <w:spacing w:line="240" w:lineRule="auto"/>
        <w:ind w:firstLine="675" w:left="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</w:t>
      </w:r>
      <w:r>
        <w:rPr>
          <w:rFonts w:ascii="Times New Roman" w:hAnsi="Times New Roman"/>
          <w:sz w:val="28"/>
        </w:rPr>
        <w:t>Министерства экономического развития Российской Федерации от 22 сентября 2015 года № 669:</w:t>
      </w:r>
    </w:p>
    <w:p w14:paraId="85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86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pacing w:val="0"/>
          <w:sz w:val="28"/>
        </w:rPr>
        <w:t xml:space="preserve"> </w:t>
      </w:r>
      <w:r>
        <w:rPr>
          <w:rFonts w:ascii="Times New Roman" w:hAnsi="Times New Roman"/>
          <w:spacing w:val="0"/>
          <w:sz w:val="28"/>
        </w:rPr>
        <w:t xml:space="preserve"> Расчет информационных издержек произведен с использованием калькулятора расчета стандартных издержек (</w:t>
      </w:r>
      <w:r>
        <w:rPr>
          <w:rFonts w:ascii="Times New Roman" w:hAnsi="Times New Roman"/>
          <w:spacing w:val="0"/>
          <w:sz w:val="28"/>
        </w:rPr>
        <w:t>regulation.gov.ru</w:t>
      </w:r>
      <w:r>
        <w:rPr>
          <w:rFonts w:ascii="Times New Roman" w:hAnsi="Times New Roman"/>
          <w:spacing w:val="0"/>
          <w:sz w:val="28"/>
        </w:rPr>
        <w:t>):</w:t>
      </w:r>
    </w:p>
    <w:p w14:paraId="87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название требования: представление пакета документов, предусмотренного проектом;</w:t>
      </w:r>
    </w:p>
    <w:p w14:paraId="88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тип требования: представление информации (документов);</w:t>
      </w:r>
    </w:p>
    <w:p w14:paraId="89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раздел требования: </w:t>
      </w:r>
      <w:r>
        <w:rPr>
          <w:rFonts w:ascii="Times New Roman" w:hAnsi="Times New Roman"/>
          <w:spacing w:val="0"/>
          <w:sz w:val="28"/>
        </w:rPr>
        <w:t>информационное</w:t>
      </w:r>
      <w:r>
        <w:rPr>
          <w:rFonts w:ascii="Times New Roman" w:hAnsi="Times New Roman"/>
          <w:spacing w:val="0"/>
          <w:sz w:val="28"/>
        </w:rPr>
        <w:t>;</w:t>
      </w:r>
    </w:p>
    <w:p w14:paraId="8A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8B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масштаб: субъекты регулирования – 1;</w:t>
      </w:r>
    </w:p>
    <w:p w14:paraId="8C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частота предоставления: 1 пакет документов 1 раз;</w:t>
      </w:r>
    </w:p>
    <w:p w14:paraId="8D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действия: подача пакета документов – 2 чел./час; </w:t>
      </w:r>
    </w:p>
    <w:p w14:paraId="8E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среднемесячная заработная плата на одного работника по Выселковскому району– 59504,8 руб.;</w:t>
      </w:r>
    </w:p>
    <w:p w14:paraId="8F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средняя стоимость часа работы: 354,2 руб. (59504,8 руб./21 рабочий день/8 час.);</w:t>
      </w:r>
    </w:p>
    <w:p w14:paraId="90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общая стоимость требования: 708,4 руб. (354,2 руб./час </w:t>
      </w:r>
      <w:r>
        <w:rPr>
          <w:rFonts w:ascii="Times New Roman" w:hAnsi="Times New Roman"/>
          <w:spacing w:val="0"/>
          <w:sz w:val="28"/>
        </w:rPr>
        <w:t>x</w:t>
      </w:r>
      <w:r>
        <w:rPr>
          <w:rFonts w:ascii="Times New Roman" w:hAnsi="Times New Roman"/>
          <w:spacing w:val="0"/>
          <w:sz w:val="28"/>
        </w:rPr>
        <w:t xml:space="preserve"> 2 чел./час) на 1-го заявителя.</w:t>
      </w:r>
    </w:p>
    <w:p w14:paraId="91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92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7.6. Источники данных: отсутствуют.</w:t>
      </w:r>
    </w:p>
    <w:p w14:paraId="93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14:paraId="94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560"/>
        <w:gridCol w:w="3276"/>
        <w:gridCol w:w="1827"/>
        <w:gridCol w:w="2863"/>
      </w:tblGrid>
      <w:t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8.1. Виды рисков</w:t>
            </w:r>
          </w:p>
        </w:tc>
        <w:tc>
          <w:tcPr>
            <w:tcW w:type="dxa" w:w="3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8.3. Методы контроля рисков</w:t>
            </w:r>
          </w:p>
        </w:tc>
        <w:tc>
          <w:tcPr>
            <w:tcW w:type="dxa" w:w="2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8.4. Степень контроля рисков (полный / частичный / отсутствует)</w:t>
            </w:r>
          </w:p>
        </w:tc>
      </w:tr>
      <w:tr>
        <w:trPr>
          <w:trHeight w:hRule="atLeast" w:val="397"/>
        </w:trP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00000">
            <w:pPr>
              <w:pStyle w:val="Style_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Риски отсутствуют</w:t>
            </w:r>
          </w:p>
        </w:tc>
        <w:tc>
          <w:tcPr>
            <w:tcW w:type="dxa" w:w="3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type="dxa" w:w="2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</w:tbl>
    <w:p w14:paraId="9D000000">
      <w:pPr>
        <w:pStyle w:val="Style_2"/>
        <w:ind w:firstLine="708" w:left="0"/>
        <w:jc w:val="both"/>
        <w:rPr>
          <w:rFonts w:ascii="Times New Roman" w:hAnsi="Times New Roman"/>
          <w:sz w:val="18"/>
        </w:rPr>
      </w:pPr>
    </w:p>
    <w:p w14:paraId="9E000000">
      <w:pPr>
        <w:pStyle w:val="Style_2"/>
        <w:ind w:firstLine="708" w:lef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8.5.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Источники данных: отсутствуют.</w:t>
      </w:r>
    </w:p>
    <w:p w14:paraId="9F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14:paraId="A0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828"/>
        <w:gridCol w:w="2551"/>
        <w:gridCol w:w="3147"/>
      </w:tblGrid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pStyle w:val="Style_5"/>
              <w:rPr>
                <w:rFonts w:ascii="Times New Roman" w:hAnsi="Times New Roman"/>
              </w:rPr>
            </w:pP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1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2</w:t>
            </w:r>
          </w:p>
        </w:tc>
      </w:tr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611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ind/>
              <w:jc w:val="both"/>
              <w:rPr>
                <w:rStyle w:val="Style_13_ch"/>
                <w:rFonts w:ascii="Times New Roman" w:hAnsi="Times New Roman"/>
                <w:sz w:val="26"/>
              </w:rPr>
            </w:pPr>
            <w:r>
              <w:rPr>
                <w:rStyle w:val="Style_13_ch"/>
                <w:rFonts w:ascii="Times New Roman" w:hAnsi="Times New Roman"/>
                <w:sz w:val="26"/>
              </w:rPr>
              <w:t>9.1. Содержание варианта решения проблемы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pStyle w:val="Style_6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муниципального нормативного правового акта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pStyle w:val="Style_6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Непринятие муниципального нормативного правового акта</w:t>
            </w:r>
          </w:p>
        </w:tc>
      </w:tr>
      <w:tr>
        <w:trPr>
          <w:trHeight w:hRule="atLeast" w:val="222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9.2. Качественная характеристика и оценка динамики численности </w:t>
            </w:r>
          </w:p>
          <w:p w14:paraId="AB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4"/>
              </w:rPr>
              <w:t>юридически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лица, индивидуальны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предпринимател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, физически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лица – производител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товаров, работ, услуг, оказывающие муниципальные услуги в социальной сфере в соответствии с социальным сертификатом.</w:t>
            </w:r>
            <w:r>
              <w:rPr>
                <w:rFonts w:ascii="Times New Roman" w:hAnsi="Times New Roman"/>
                <w:sz w:val="24"/>
              </w:rPr>
              <w:t xml:space="preserve"> Количественная оценка численности – не ограничено. 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__</w:t>
            </w:r>
          </w:p>
        </w:tc>
      </w:tr>
      <w:tr>
        <w:trPr>
          <w:trHeight w:hRule="atLeast" w:val="1984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pStyle w:val="Style_1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</w:rPr>
              <w:t>расходы на подготовку пакета документов на получение субсидий</w:t>
            </w:r>
          </w:p>
          <w:p w14:paraId="B0000000">
            <w:pPr>
              <w:rPr>
                <w:color w:val="C0504D"/>
              </w:rPr>
            </w:pPr>
            <w:r>
              <w:rPr>
                <w:color w:val="C0504D"/>
              </w:rPr>
              <w:t>СУММА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  <w:tr>
        <w:trPr>
          <w:trHeight w:hRule="atLeast" w:val="192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00000">
            <w:pPr>
              <w:pStyle w:val="Style_1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  <w:tr>
        <w:trPr>
          <w:trHeight w:hRule="atLeast" w:val="259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pStyle w:val="Style_1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9.5. Оценка возможности достижения заявленных целей регулирования (</w: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instrText>HYPERLINK \l "sub_10003"</w:instrTex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t>пункт 3</w: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цель будет достигнута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pStyle w:val="Style_5"/>
              <w:ind/>
              <w:jc w:val="left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цель не будет достигнута</w:t>
            </w:r>
          </w:p>
        </w:tc>
      </w:tr>
      <w:tr>
        <w:trPr>
          <w:trHeight w:hRule="atLeast" w:val="741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pStyle w:val="Style_1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9.6. Оценка рисков неблагоприятных последствий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</w:tbl>
    <w:p w14:paraId="BB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BC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9.7. Обоснование выбора предпочтительного варианта решения выявленной проблемы:</w:t>
      </w:r>
    </w:p>
    <w:p w14:paraId="B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Вариант 1. Позволит утвердить проект постановления администрации </w:t>
      </w:r>
      <w:r>
        <w:rPr>
          <w:rFonts w:ascii="Times New Roman" w:hAnsi="Times New Roman"/>
          <w:sz w:val="28"/>
        </w:rPr>
        <w:t>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>
        <w:rPr>
          <w:rFonts w:ascii="Times New Roman" w:hAnsi="Times New Roman"/>
          <w:sz w:val="28"/>
        </w:rPr>
        <w:t>». Выявленная проблема может быть решена исключительно посредством введения предлагаемого правового регулирования.</w:t>
      </w:r>
    </w:p>
    <w:p w14:paraId="BE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9.8. Детальное описание предлагаемого варианта решения проблемы: утверждение проекта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14:paraId="BF000000">
      <w:pPr>
        <w:pStyle w:val="Style_2"/>
        <w:spacing w:after="60"/>
        <w:ind/>
        <w:jc w:val="both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14:paraId="C0000000">
      <w:pPr>
        <w:pStyle w:val="Style_2"/>
        <w:spacing w:after="6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10.1.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</w:rPr>
        <w:t xml:space="preserve">август </w:t>
      </w:r>
      <w:r>
        <w:rPr>
          <w:rFonts w:ascii="Times New Roman" w:hAnsi="Times New Roman"/>
          <w:sz w:val="28"/>
        </w:rPr>
        <w:t>2023 года, со дня обнародования.</w:t>
      </w:r>
    </w:p>
    <w:p w14:paraId="C1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Необходимость установления переходного периода и (или) отсрочки введения предлагаемого правового регулирования: нет.</w:t>
      </w:r>
    </w:p>
    <w:p w14:paraId="C2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 срок переходного периода: нет;</w:t>
      </w:r>
    </w:p>
    <w:p w14:paraId="C3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14:paraId="C4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Необходимость распространения предлагаемого правового регулирования на ранее возникшие отношения: отсутствует.</w:t>
      </w:r>
    </w:p>
    <w:p w14:paraId="C5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14:paraId="C6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14:paraId="C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</w:p>
    <w:p w14:paraId="C8000000">
      <w:pPr>
        <w:pStyle w:val="Style_2"/>
        <w:ind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7 июля</w:t>
      </w:r>
      <w:r>
        <w:rPr>
          <w:rFonts w:ascii="Times New Roman" w:hAnsi="Times New Roman"/>
          <w:sz w:val="27"/>
        </w:rPr>
        <w:t xml:space="preserve"> 2023 года</w:t>
      </w:r>
    </w:p>
    <w:p w14:paraId="C9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CA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управления образования</w:t>
      </w:r>
    </w:p>
    <w:p w14:paraId="CB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муниципального</w:t>
      </w:r>
    </w:p>
    <w:p w14:paraId="CC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Выселковский район </w:t>
      </w:r>
      <w:r>
        <w:rPr>
          <w:rFonts w:ascii="Times New Roman" w:hAnsi="Times New Roman"/>
          <w:sz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</w:rPr>
        <w:t>Л.А. Семина</w:t>
      </w:r>
    </w:p>
    <w:p w14:paraId="CD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CE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CF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D0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D1000000"/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480"/>
      </w:pPr>
    </w:lvl>
    <w:lvl w:ilvl="1">
      <w:start w:val="1"/>
      <w:numFmt w:val="lowerLetter"/>
      <w:lvlText w:val="%2."/>
      <w:lvlJc w:val="left"/>
      <w:pPr>
        <w:ind w:hanging="360" w:left="1200"/>
      </w:pPr>
    </w:lvl>
    <w:lvl w:ilvl="2">
      <w:start w:val="1"/>
      <w:numFmt w:val="lowerRoman"/>
      <w:lvlText w:val="%3."/>
      <w:lvlJc w:val="right"/>
      <w:pPr>
        <w:ind w:hanging="180" w:left="1920"/>
      </w:pPr>
    </w:lvl>
    <w:lvl w:ilvl="3">
      <w:start w:val="1"/>
      <w:numFmt w:val="decimal"/>
      <w:lvlText w:val="%4."/>
      <w:lvlJc w:val="left"/>
      <w:pPr>
        <w:ind w:hanging="360" w:left="2640"/>
      </w:pPr>
    </w:lvl>
    <w:lvl w:ilvl="4">
      <w:start w:val="1"/>
      <w:numFmt w:val="lowerLetter"/>
      <w:lvlText w:val="%5."/>
      <w:lvlJc w:val="left"/>
      <w:pPr>
        <w:ind w:hanging="360" w:left="3360"/>
      </w:pPr>
    </w:lvl>
    <w:lvl w:ilvl="5">
      <w:start w:val="1"/>
      <w:numFmt w:val="lowerRoman"/>
      <w:lvlText w:val="%6."/>
      <w:lvlJc w:val="right"/>
      <w:pPr>
        <w:ind w:hanging="180" w:left="4080"/>
      </w:pPr>
    </w:lvl>
    <w:lvl w:ilvl="6">
      <w:start w:val="1"/>
      <w:numFmt w:val="decimal"/>
      <w:lvlText w:val="%7."/>
      <w:lvlJc w:val="left"/>
      <w:pPr>
        <w:ind w:hanging="360" w:left="4800"/>
      </w:pPr>
    </w:lvl>
    <w:lvl w:ilvl="7">
      <w:start w:val="1"/>
      <w:numFmt w:val="lowerLetter"/>
      <w:lvlText w:val="%8."/>
      <w:lvlJc w:val="left"/>
      <w:pPr>
        <w:ind w:hanging="360" w:left="5520"/>
      </w:pPr>
    </w:lvl>
    <w:lvl w:ilvl="8">
      <w:start w:val="1"/>
      <w:numFmt w:val="lowerRoman"/>
      <w:lvlText w:val="%9."/>
      <w:lvlJc w:val="right"/>
      <w:pPr>
        <w:ind w:hanging="180" w:left="624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4" w:type="paragraph">
    <w:name w:val="Normal"/>
    <w:link w:val="Style_14_ch"/>
    <w:uiPriority w:val="0"/>
    <w:qFormat/>
    <w:pPr>
      <w:spacing w:after="200" w:line="276" w:lineRule="auto"/>
      <w:ind/>
    </w:pPr>
    <w:rPr>
      <w:sz w:val="22"/>
    </w:rPr>
  </w:style>
  <w:style w:default="1" w:styleId="Style_14_ch" w:type="character">
    <w:name w:val="Normal"/>
    <w:link w:val="Style_14"/>
    <w:rPr>
      <w:sz w:val="22"/>
    </w:rPr>
  </w:style>
  <w:style w:styleId="Style_13" w:type="paragraph">
    <w:name w:val="Body Text"/>
    <w:basedOn w:val="Style_14"/>
    <w:link w:val="Style_13_ch"/>
    <w:pPr>
      <w:spacing w:after="120"/>
      <w:ind/>
    </w:pPr>
  </w:style>
  <w:style w:styleId="Style_13_ch" w:type="character">
    <w:name w:val="Body Text"/>
    <w:basedOn w:val="Style_14_ch"/>
    <w:link w:val="Style_13"/>
  </w:style>
  <w:style w:styleId="Style_15" w:type="paragraph">
    <w:name w:val="toc 2"/>
    <w:next w:val="Style_14"/>
    <w:link w:val="Style_15_ch"/>
    <w:uiPriority w:val="39"/>
    <w:pPr>
      <w:ind w:firstLine="0" w:left="200"/>
    </w:pPr>
    <w:rPr>
      <w:rFonts w:ascii="XO Thames" w:hAnsi="XO Thames"/>
      <w:sz w:val="28"/>
    </w:rPr>
  </w:style>
  <w:style w:styleId="Style_15_ch" w:type="character">
    <w:name w:val="toc 2"/>
    <w:link w:val="Style_15"/>
    <w:rPr>
      <w:rFonts w:ascii="XO Thames" w:hAnsi="XO Thames"/>
      <w:sz w:val="28"/>
    </w:rPr>
  </w:style>
  <w:style w:styleId="Style_16" w:type="paragraph">
    <w:name w:val="toc 4"/>
    <w:next w:val="Style_14"/>
    <w:link w:val="Style_16_ch"/>
    <w:uiPriority w:val="39"/>
    <w:pPr>
      <w:ind w:firstLine="0" w:left="600"/>
    </w:pPr>
    <w:rPr>
      <w:rFonts w:ascii="XO Thames" w:hAnsi="XO Thames"/>
      <w:sz w:val="28"/>
    </w:rPr>
  </w:style>
  <w:style w:styleId="Style_16_ch" w:type="character">
    <w:name w:val="toc 4"/>
    <w:link w:val="Style_16"/>
    <w:rPr>
      <w:rFonts w:ascii="XO Thames" w:hAnsi="XO Thames"/>
      <w:sz w:val="28"/>
    </w:rPr>
  </w:style>
  <w:style w:styleId="Style_17" w:type="paragraph">
    <w:name w:val="toc 6"/>
    <w:next w:val="Style_14"/>
    <w:link w:val="Style_17_ch"/>
    <w:uiPriority w:val="39"/>
    <w:pPr>
      <w:ind w:firstLine="0" w:left="1000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7"/>
    <w:next w:val="Style_14"/>
    <w:link w:val="Style_18_ch"/>
    <w:uiPriority w:val="39"/>
    <w:pPr>
      <w:ind w:firstLine="0" w:left="1200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heading 3"/>
    <w:next w:val="Style_14"/>
    <w:link w:val="Style_1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9_ch" w:type="character">
    <w:name w:val="heading 3"/>
    <w:link w:val="Style_19"/>
    <w:rPr>
      <w:rFonts w:ascii="XO Thames" w:hAnsi="XO Thames"/>
      <w:b w:val="1"/>
      <w:sz w:val="26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20" w:type="paragraph">
    <w:name w:val="Balloon Text Char"/>
    <w:basedOn w:val="Style_21"/>
    <w:link w:val="Style_20_ch"/>
    <w:rPr>
      <w:rFonts w:ascii="Times New Roman" w:hAnsi="Times New Roman"/>
      <w:sz w:val="2"/>
    </w:rPr>
  </w:style>
  <w:style w:styleId="Style_20_ch" w:type="character">
    <w:name w:val="Balloon Text Char"/>
    <w:basedOn w:val="Style_21_ch"/>
    <w:link w:val="Style_20"/>
    <w:rPr>
      <w:rFonts w:ascii="Times New Roman" w:hAnsi="Times New Roman"/>
      <w:sz w:val="2"/>
    </w:rPr>
  </w:style>
  <w:style w:styleId="Style_22" w:type="paragraph">
    <w:name w:val="toc 3"/>
    <w:next w:val="Style_14"/>
    <w:link w:val="Style_22_ch"/>
    <w:uiPriority w:val="39"/>
    <w:pPr>
      <w:ind w:firstLine="0" w:left="400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1" w:type="paragraph">
    <w:name w:val="header"/>
    <w:basedOn w:val="Style_1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sz w:val="20"/>
    </w:rPr>
  </w:style>
  <w:style w:styleId="Style_1_ch" w:type="character">
    <w:name w:val="header"/>
    <w:basedOn w:val="Style_14_ch"/>
    <w:link w:val="Style_1"/>
    <w:rPr>
      <w:sz w:val="20"/>
    </w:rPr>
  </w:style>
  <w:style w:styleId="Style_8" w:type="paragraph">
    <w:name w:val="Гипертекстовая ссылка"/>
    <w:link w:val="Style_8_ch"/>
    <w:rPr>
      <w:b w:val="1"/>
      <w:color w:val="106BBE"/>
    </w:rPr>
  </w:style>
  <w:style w:styleId="Style_8_ch" w:type="character">
    <w:name w:val="Гипертекстовая ссылка"/>
    <w:link w:val="Style_8"/>
    <w:rPr>
      <w:b w:val="1"/>
      <w:color w:val="106BBE"/>
    </w:rPr>
  </w:style>
  <w:style w:styleId="Style_23" w:type="paragraph">
    <w:name w:val="heading 5"/>
    <w:next w:val="Style_14"/>
    <w:link w:val="Style_2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9" w:type="paragraph">
    <w:name w:val="heading 1"/>
    <w:basedOn w:val="Style_14"/>
    <w:next w:val="Style_14"/>
    <w:link w:val="Style_9_ch"/>
    <w:uiPriority w:val="9"/>
    <w:qFormat/>
    <w:pPr>
      <w:widowControl w:val="0"/>
      <w:spacing w:after="108" w:before="108" w:line="240" w:lineRule="auto"/>
      <w:ind/>
      <w:jc w:val="center"/>
      <w:outlineLvl w:val="0"/>
    </w:pPr>
    <w:rPr>
      <w:rFonts w:ascii="Arial" w:hAnsi="Arial"/>
      <w:b w:val="1"/>
      <w:color w:val="26282F"/>
      <w:sz w:val="24"/>
    </w:rPr>
  </w:style>
  <w:style w:styleId="Style_9_ch" w:type="character">
    <w:name w:val="heading 1"/>
    <w:basedOn w:val="Style_14_ch"/>
    <w:link w:val="Style_9"/>
    <w:rPr>
      <w:rFonts w:ascii="Arial" w:hAnsi="Arial"/>
      <w:b w:val="1"/>
      <w:color w:val="26282F"/>
      <w:sz w:val="24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14"/>
    <w:link w:val="Style_26_ch"/>
    <w:uiPriority w:val="39"/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7" w:type="paragraph">
    <w:name w:val="List Paragraph"/>
    <w:basedOn w:val="Style_14"/>
    <w:link w:val="Style_7_ch"/>
    <w:pPr>
      <w:ind w:firstLine="0" w:left="720"/>
      <w:contextualSpacing w:val="1"/>
    </w:pPr>
  </w:style>
  <w:style w:styleId="Style_7_ch" w:type="character">
    <w:name w:val="List Paragraph"/>
    <w:basedOn w:val="Style_14_ch"/>
    <w:link w:val="Style_7"/>
  </w:style>
  <w:style w:styleId="Style_27" w:type="paragraph">
    <w:name w:val="Header and Footer"/>
    <w:link w:val="Style_27_ch"/>
    <w:pPr>
      <w:ind/>
      <w:jc w:val="both"/>
    </w:pPr>
    <w:rPr>
      <w:rFonts w:ascii="XO Thames" w:hAnsi="XO Thames"/>
    </w:rPr>
  </w:style>
  <w:style w:styleId="Style_27_ch" w:type="character">
    <w:name w:val="Header and Footer"/>
    <w:link w:val="Style_27"/>
    <w:rPr>
      <w:rFonts w:ascii="XO Thames" w:hAnsi="XO Thames"/>
    </w:rPr>
  </w:style>
  <w:style w:styleId="Style_2" w:type="paragraph">
    <w:name w:val="No Spacing"/>
    <w:link w:val="Style_2_ch"/>
    <w:rPr>
      <w:sz w:val="22"/>
    </w:rPr>
  </w:style>
  <w:style w:styleId="Style_2_ch" w:type="character">
    <w:name w:val="No Spacing"/>
    <w:link w:val="Style_2"/>
    <w:rPr>
      <w:sz w:val="22"/>
    </w:rPr>
  </w:style>
  <w:style w:styleId="Style_5" w:type="paragraph">
    <w:name w:val="Нормальный (таблица)"/>
    <w:basedOn w:val="Style_14"/>
    <w:next w:val="Style_14"/>
    <w:link w:val="Style_5_ch"/>
    <w:pPr>
      <w:widowControl w:val="0"/>
      <w:spacing w:after="0" w:line="240" w:lineRule="auto"/>
      <w:ind/>
      <w:jc w:val="both"/>
    </w:pPr>
    <w:rPr>
      <w:rFonts w:ascii="Arial" w:hAnsi="Arial"/>
      <w:sz w:val="24"/>
    </w:rPr>
  </w:style>
  <w:style w:styleId="Style_5_ch" w:type="character">
    <w:name w:val="Нормальный (таблица)"/>
    <w:basedOn w:val="Style_14_ch"/>
    <w:link w:val="Style_5"/>
    <w:rPr>
      <w:rFonts w:ascii="Arial" w:hAnsi="Arial"/>
      <w:sz w:val="24"/>
    </w:rPr>
  </w:style>
  <w:style w:styleId="Style_28" w:type="paragraph">
    <w:name w:val="toc 9"/>
    <w:next w:val="Style_14"/>
    <w:link w:val="Style_28_ch"/>
    <w:uiPriority w:val="39"/>
    <w:pPr>
      <w:ind w:firstLine="0" w:left="1600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6" w:type="paragraph">
    <w:name w:val="ConsPlusNormal"/>
    <w:link w:val="Style_6_ch"/>
    <w:pPr>
      <w:widowControl w:val="0"/>
      <w:ind/>
    </w:pPr>
    <w:rPr>
      <w:sz w:val="22"/>
    </w:rPr>
  </w:style>
  <w:style w:styleId="Style_6_ch" w:type="character">
    <w:name w:val="ConsPlusNormal"/>
    <w:link w:val="Style_6"/>
    <w:rPr>
      <w:sz w:val="22"/>
    </w:rPr>
  </w:style>
  <w:style w:styleId="Style_29" w:type="paragraph">
    <w:name w:val="toc 8"/>
    <w:next w:val="Style_14"/>
    <w:link w:val="Style_29_ch"/>
    <w:uiPriority w:val="39"/>
    <w:pPr>
      <w:ind w:firstLine="0" w:left="1400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Balloon Text"/>
    <w:basedOn w:val="Style_14"/>
    <w:link w:val="Style_30_ch"/>
    <w:pPr>
      <w:spacing w:after="0" w:line="240" w:lineRule="auto"/>
      <w:ind/>
    </w:pPr>
    <w:rPr>
      <w:rFonts w:ascii="Segoe UI" w:hAnsi="Segoe UI"/>
      <w:sz w:val="18"/>
    </w:rPr>
  </w:style>
  <w:style w:styleId="Style_30_ch" w:type="character">
    <w:name w:val="Balloon Text"/>
    <w:basedOn w:val="Style_14_ch"/>
    <w:link w:val="Style_30"/>
    <w:rPr>
      <w:rFonts w:ascii="Segoe UI" w:hAnsi="Segoe UI"/>
      <w:sz w:val="18"/>
    </w:rPr>
  </w:style>
  <w:style w:styleId="Style_10" w:type="paragraph">
    <w:name w:val="Прижатый влево"/>
    <w:basedOn w:val="Style_14"/>
    <w:next w:val="Style_14"/>
    <w:link w:val="Style_10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10_ch" w:type="character">
    <w:name w:val="Прижатый влево"/>
    <w:basedOn w:val="Style_14_ch"/>
    <w:link w:val="Style_10"/>
    <w:rPr>
      <w:rFonts w:ascii="Arial" w:hAnsi="Arial"/>
      <w:sz w:val="24"/>
    </w:rPr>
  </w:style>
  <w:style w:styleId="Style_31" w:type="paragraph">
    <w:name w:val="toc 5"/>
    <w:next w:val="Style_14"/>
    <w:link w:val="Style_31_ch"/>
    <w:uiPriority w:val="39"/>
    <w:pPr>
      <w:ind w:firstLine="0" w:left="800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12" w:type="paragraph">
    <w:name w:val="ConsPlusTitle"/>
    <w:link w:val="Style_12_ch"/>
    <w:pPr>
      <w:widowControl w:val="0"/>
      <w:ind/>
    </w:pPr>
    <w:rPr>
      <w:b w:val="1"/>
      <w:color w:val="000000"/>
      <w:sz w:val="22"/>
    </w:rPr>
  </w:style>
  <w:style w:styleId="Style_12_ch" w:type="character">
    <w:name w:val="ConsPlusTitle"/>
    <w:link w:val="Style_12"/>
    <w:rPr>
      <w:b w:val="1"/>
      <w:color w:val="000000"/>
      <w:sz w:val="22"/>
    </w:rPr>
  </w:style>
  <w:style w:styleId="Style_32" w:type="paragraph">
    <w:name w:val="Subtitle"/>
    <w:next w:val="Style_14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Default Paragraph Font"/>
    <w:link w:val="Style_33_ch"/>
  </w:style>
  <w:style w:styleId="Style_33_ch" w:type="character">
    <w:name w:val="Default Paragraph Font"/>
    <w:link w:val="Style_33"/>
  </w:style>
  <w:style w:styleId="Style_34" w:type="paragraph">
    <w:name w:val="Основной текст + 10"/>
    <w:link w:val="Style_34_ch"/>
    <w:rPr>
      <w:rFonts w:ascii="Times New Roman" w:hAnsi="Times New Roman"/>
      <w:sz w:val="21"/>
      <w:highlight w:val="white"/>
    </w:rPr>
  </w:style>
  <w:style w:styleId="Style_34_ch" w:type="character">
    <w:name w:val="Основной текст + 10"/>
    <w:link w:val="Style_34"/>
    <w:rPr>
      <w:rFonts w:ascii="Times New Roman" w:hAnsi="Times New Roman"/>
      <w:sz w:val="21"/>
      <w:highlight w:val="white"/>
    </w:rPr>
  </w:style>
  <w:style w:styleId="Style_35" w:type="paragraph">
    <w:name w:val="Title"/>
    <w:next w:val="Style_14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Обычный1"/>
    <w:link w:val="Style_36_ch"/>
    <w:rPr>
      <w:sz w:val="22"/>
    </w:rPr>
  </w:style>
  <w:style w:styleId="Style_36_ch" w:type="character">
    <w:name w:val="Обычный1"/>
    <w:link w:val="Style_36"/>
    <w:rPr>
      <w:sz w:val="22"/>
    </w:rPr>
  </w:style>
  <w:style w:styleId="Style_37" w:type="paragraph">
    <w:name w:val="heading 4"/>
    <w:next w:val="Style_14"/>
    <w:link w:val="Style_3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38" w:type="paragraph">
    <w:name w:val="annotation text"/>
    <w:basedOn w:val="Style_14"/>
    <w:link w:val="Style_38_ch"/>
    <w:pPr>
      <w:spacing w:after="0" w:line="240" w:lineRule="auto"/>
      <w:ind/>
    </w:pPr>
    <w:rPr>
      <w:rFonts w:ascii="Times New Roman" w:hAnsi="Times New Roman"/>
      <w:color w:val="000000"/>
      <w:sz w:val="20"/>
    </w:rPr>
  </w:style>
  <w:style w:styleId="Style_38_ch" w:type="character">
    <w:name w:val="annotation text"/>
    <w:basedOn w:val="Style_14_ch"/>
    <w:link w:val="Style_38"/>
    <w:rPr>
      <w:rFonts w:ascii="Times New Roman" w:hAnsi="Times New Roman"/>
      <w:color w:val="000000"/>
      <w:sz w:val="20"/>
    </w:rPr>
  </w:style>
  <w:style w:styleId="Style_39" w:type="paragraph">
    <w:name w:val="Гиперссылка1"/>
    <w:link w:val="Style_39_ch"/>
    <w:rPr>
      <w:color w:val="0000FF"/>
      <w:u w:val="single"/>
    </w:rPr>
  </w:style>
  <w:style w:styleId="Style_39_ch" w:type="character">
    <w:name w:val="Гиперссылка1"/>
    <w:link w:val="Style_39"/>
    <w:rPr>
      <w:color w:val="0000FF"/>
      <w:u w:val="single"/>
    </w:rPr>
  </w:style>
  <w:style w:styleId="Style_21" w:type="paragraph">
    <w:name w:val="Основной шрифт абзаца1"/>
    <w:link w:val="Style_21_ch"/>
  </w:style>
  <w:style w:styleId="Style_21_ch" w:type="character">
    <w:name w:val="Основной шрифт абзаца1"/>
    <w:link w:val="Style_21"/>
  </w:style>
  <w:style w:styleId="Style_40" w:type="paragraph">
    <w:name w:val="heading 2"/>
    <w:next w:val="Style_14"/>
    <w:link w:val="Style_4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0_ch" w:type="character">
    <w:name w:val="heading 2"/>
    <w:link w:val="Style_40"/>
    <w:rPr>
      <w:rFonts w:ascii="XO Thames" w:hAnsi="XO Thames"/>
      <w:b w:val="1"/>
      <w:sz w:val="28"/>
    </w:rPr>
  </w:style>
  <w:style w:styleId="Style_11" w:type="paragraph">
    <w:name w:val="Основной текст1"/>
    <w:basedOn w:val="Style_14"/>
    <w:link w:val="Style_11_ch"/>
    <w:pPr>
      <w:spacing w:after="0" w:before="900" w:line="317" w:lineRule="exact"/>
      <w:ind w:hanging="360" w:left="360"/>
      <w:jc w:val="both"/>
    </w:pPr>
    <w:rPr>
      <w:sz w:val="27"/>
    </w:rPr>
  </w:style>
  <w:style w:styleId="Style_11_ch" w:type="character">
    <w:name w:val="Основной текст1"/>
    <w:basedOn w:val="Style_14_ch"/>
    <w:link w:val="Style_11"/>
    <w:rPr>
      <w:sz w:val="27"/>
    </w:rPr>
  </w:style>
  <w:style w:styleId="Style_41" w:type="table">
    <w:name w:val="Table Grid"/>
    <w:basedOn w:val="Style_4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2023-07-07T11:22:03Z</dcterms:modified>
</cp:coreProperties>
</file>