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284" w:rsidRDefault="00F70284" w:rsidP="00F70284">
      <w:bookmarkStart w:id="0" w:name="PageBegin"/>
      <w:bookmarkEnd w:id="0"/>
      <w:r>
        <w:br w:type="column"/>
      </w:r>
    </w:p>
    <w:p>
      <w:pPr>
        <w:spacing w:before="0" w:after="0" w:lineRule="auto" w:line="240"/>
        <w:jc w:val="left"/>
      </w:pPr>
      <w:r>
        <w:rPr>
          <w:rFonts w:ascii="Times New Roman" w:hAnsi="Times New Roman" w:cs="Times New Roman" w:eastAsia="Times New Roman"/>
          <w:b w:val="false"/>
          <w:i w:val="false"/>
          <w:sz w:val="24"/>
        </w:rPr>
        <w:t>Экземпляр №  ______</w:t>
        <w:cr/>
      </w:r>
    </w:p>
    <w:p>
      <w:pPr>
        <w:spacing w:before="0" w:after="0" w:lineRule="auto" w:line="240"/>
        <w:jc w:val="center"/>
      </w:pPr>
      <w:r>
        <w:rPr>
          <w:rFonts w:ascii="Times New Roman" w:hAnsi="Times New Roman" w:cs="Times New Roman" w:eastAsia="Times New Roman"/>
          <w:b w:val="true"/>
          <w:i w:val="false"/>
          <w:sz w:val="28"/>
        </w:rPr>
        <w:t>Досрочные выборы главы Новомалороссийского сельского поселения Выселковского муниципального района Краснодарского края</w:t>
      </w:r>
    </w:p>
    <w:p>
      <w:pPr>
        <w:spacing w:before="0" w:after="0" w:lineRule="auto" w:line="240"/>
        <w:jc w:val="center"/>
      </w:pPr>
      <w:r>
        <w:rPr>
          <w:rFonts w:ascii="Times New Roman" w:hAnsi="Times New Roman" w:cs="Times New Roman" w:eastAsia="Times New Roman"/>
          <w:b w:val="false"/>
          <w:i w:val="false"/>
          <w:sz w:val="28"/>
        </w:rPr>
        <w:t>20 сентября 2026 года</w:t>
        <w:cr/>
      </w:r>
    </w:p>
    <w:p>
      <w:pPr>
        <w:spacing w:before="0" w:after="0" w:lineRule="auto" w:line="240"/>
        <w:jc w:val="center"/>
      </w:pPr>
      <w:r>
        <w:rPr>
          <w:rFonts w:ascii="Times New Roman" w:hAnsi="Times New Roman" w:cs="Times New Roman" w:eastAsia="Times New Roman"/>
          <w:b w:val="true"/>
          <w:i w:val="false"/>
          <w:sz w:val="32"/>
        </w:rPr>
        <w:t xml:space="preserve">ПРОТОКОЛ </w:t>
      </w:r>
    </w:p>
    <w:p>
      <w:pPr>
        <w:spacing w:before="0" w:after="0" w:lineRule="auto" w:line="240"/>
        <w:jc w:val="center"/>
      </w:pPr>
      <w:r>
        <w:rPr>
          <w:rFonts w:ascii="Times New Roman" w:hAnsi="Times New Roman" w:cs="Times New Roman" w:eastAsia="Times New Roman"/>
          <w:b w:val="false"/>
          <w:i w:val="false"/>
          <w:sz w:val="28"/>
        </w:rPr>
        <w:t>территориальной избирательной комиссии Выселковская</w:t>
        <w:br/>
        <w:t>о результатах выборов на территории Новомалороссийского сельского поселения Выселковского муниципального района Краснодарского края</w:t>
        <w:cr/>
      </w:r>
    </w:p>
    <w:tbl>
      <w:tblPr>
        <w:tblW w:w="5000" w:type="pct"/>
        <w:jc w:val="center"/>
      </w:tblP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 xml:space="preserve">Число участковых избирательных комиссий  </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4</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 xml:space="preserve">Число поступивших протоколов участковых избирательных комиссий об итогах голосования, на основании которых составлен протокол территориальной избирательной комиссии  </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4</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Число избирательных участков, итоги голосования по которым были признаны недействительными</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0</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Суммарное число избирателей, внесенных в списки избирателей на момент окончания голосования на избирательных участках, итоги голосования по которым были признаны недействительными</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0</w:t>
            </w:r>
          </w:p>
        </w:tc>
      </w:tr>
    </w:tbl>
    <w:p>
      <w:pPr>
        <w:spacing w:before="0" w:after="0" w:lineRule="auto" w:line="240"/>
        <w:jc w:val="left"/>
      </w:pPr>
      <w:r>
        <w:rPr>
          <w:rFonts w:ascii="Times New Roman" w:hAnsi="Times New Roman" w:cs="Times New Roman" w:eastAsia="Times New Roman"/>
          <w:b w:val="false"/>
          <w:i w:val="false"/>
          <w:sz w:val="28"/>
        </w:rPr>
        <w:t xml:space="preserve"> </w:t>
      </w:r>
    </w:p>
    <w:tbl>
      <w:tblPr>
        <w:tblW w:w="5000" w:type="pct"/>
        <w:jc w:val="center"/>
      </w:tblPr>
      <w:tr>
        <w:trPr>
          <w:cantSplit/>
        </w:trPr>
        <w:tc>
          <w:tcPr>
            <w:tcW w:w="10200" w:type="dxa"/>
          </w:tcPr>
          <w:p>
            <w:pPr>
              <w:spacing w:before="0" w:after="0" w:lineRule="auto" w:line="240"/>
              <w:jc w:val="both"/>
            </w:pPr>
            <w:r>
              <w:rPr>
                <w:rFonts w:ascii="Times New Roman" w:hAnsi="Times New Roman" w:cs="Times New Roman" w:eastAsia="Times New Roman"/>
                <w:b w:val="false"/>
                <w:i w:val="false"/>
                <w:sz w:val="24"/>
              </w:rPr>
              <w:br/>
              <w:t>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содержащихся в указанных протоколах участковых избирательных комиссий, определила:</w:t>
            </w:r>
          </w:p>
        </w:tc>
      </w:tr>
    </w:tbl>
    <w:p>
      <w:pPr>
        <w:spacing w:before="0" w:after="0" w:lineRule="auto" w:line="240"/>
        <w:jc w:val="left"/>
      </w:pPr>
      <w:r>
        <w:rPr>
          <w:rFonts w:ascii="Times New Roman" w:hAnsi="Times New Roman" w:cs="Times New Roman" w:eastAsia="Times New Roman"/>
          <w:b w:val="false"/>
          <w:i w:val="false"/>
          <w:sz w:val="28"/>
        </w:rPr>
        <w:t xml:space="preserve"> </w:t>
      </w:r>
    </w:p>
    <w:tbl>
      <w:tblPr>
        <w:tblW w:w="5000" w:type="pct"/>
        <w:jc w:val="center"/>
        <w:tblBorders>
          <w:top w:val="single"/>
          <w:left w:val="single"/>
          <w:bottom w:val="single"/>
          <w:right w:val="single"/>
          <w:insideH w:val="single"/>
          <w:insideV w:val="single"/>
        </w:tblBorders>
      </w:tblP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избирателей, внесенных в списки избирателей на момент окончания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2</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полученных участковыми избирательными комиссиями</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3</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избирателям, проголосовавшим досрочно</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4</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участковыми избирательными комиссиями избирателям в помещениях для голосования в день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7</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5</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избирателям, проголосовавшим вне помещений для голосования в день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6</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погашенных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7</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7</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содержащихся в переносных ящиках для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8</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содержащихся в стационарных ящиках для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7</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9</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недействительных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9</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10</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действительных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7</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11</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утраченных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12</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не учтенных при получении</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bl>
    <w:p>
      <w:pPr>
        <w:spacing w:before="0" w:after="0" w:lineRule="exact" w:line="14"/>
        <w:jc w:val="left"/>
      </w:pPr>
      <w:r>
        <w:rPr>
          <w:rFonts w:ascii="Times New Roman" w:hAnsi="Times New Roman" w:cs="Times New Roman" w:eastAsia="Times New Roman"/>
          <w:b w:val="false"/>
          <w:i w:val="false"/>
          <w:sz w:val="4"/>
        </w:rPr>
        <w:t xml:space="preserve"> </w:t>
      </w:r>
    </w:p>
    <w:tbl>
      <w:tblPr>
        <w:tblW w:w="5000" w:type="pct"/>
        <w:jc w:val="center"/>
        <w:tblBorders>
          <w:top w:val="single"/>
          <w:left w:val="single"/>
          <w:bottom w:val="single"/>
          <w:right w:val="single"/>
          <w:insideH w:val="single"/>
          <w:insideV w:val="single"/>
        </w:tblBorders>
      </w:tblPr>
      <w:tr>
        <w:trPr>
          <w:cantSplit/>
        </w:trPr>
        <w:tc>
          <w:tcPr>
            <w:tcW w:w="680" w:type="dxa"/>
            <w:hMerge w:val="restart"/>
            <w:vAlign w:val="center"/>
          </w:tcPr>
          <w:p>
            <w:pPr>
              <w:keepNext w:val="on"/>
              <w:spacing w:before="0" w:after="0" w:lineRule="auto" w:line="240"/>
              <w:jc w:val="center"/>
            </w:pPr>
            <w:pPr>
              <w:keepLines w:val="on"/>
            </w:pPr>
            <w:r>
              <w:rPr>
                <w:rFonts w:ascii="Times New Roman" w:hAnsi="Times New Roman" w:cs="Times New Roman" w:eastAsia="Times New Roman"/>
                <w:b w:val="true"/>
                <w:i w:val="false"/>
                <w:sz w:val="20"/>
              </w:rPr>
              <w:t>Фамилии, имена, отчества внесенных в избирательный бюллетень зарегистрированных кандидатов</w:t>
            </w:r>
          </w:p>
        </w:tc>
        <w:tc>
          <w:tcPr>
            <w:tcW w:w="7725" w:type="dxa"/>
            <w:hMerge w:val="continue"/>
          </w:tcPr>
          <w:p>
            <w:pPr>
              <w:keepNext w:val="on"/>
              <w:keepLines w:val="on"/>
            </w:pPr>
          </w:p>
        </w:tc>
        <w:tc>
          <w:tcPr>
            <w:tcW w:w="300" w:type="dxa"/>
            <w:hMerge w:val="restart"/>
            <w:vAlign w:val="center"/>
          </w:tcPr>
          <w:p>
            <w:pPr>
              <w:keepNext w:val="on"/>
              <w:spacing w:before="0" w:after="0" w:lineRule="auto" w:line="240"/>
              <w:jc w:val="center"/>
            </w:pPr>
            <w:pPr>
              <w:keepLines w:val="on"/>
            </w:pPr>
            <w:r>
              <w:rPr>
                <w:rFonts w:ascii="Times New Roman" w:hAnsi="Times New Roman" w:cs="Times New Roman" w:eastAsia="Times New Roman"/>
                <w:b w:val="true"/>
                <w:i w:val="false"/>
                <w:sz w:val="20"/>
              </w:rPr>
              <w:t>Число голосов избирателей, поданных за каждого зарегистрированного кандидата</w:t>
            </w: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13</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Богатова Анна Константиновна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9</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14</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Ковалева Татьяна Валерьевна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7</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15</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Ларионова Нина Юрьевна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16</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Терещенко Лилия Матвеевна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r>
    </w:tbl>
    <w:p>
      <w:pPr>
        <w:spacing w:before="0" w:after="0" w:lineRule="auto" w:line="240"/>
        <w:jc w:val="left"/>
      </w:pPr>
      <w:r>
        <w:rPr>
          <w:rFonts w:ascii="Times New Roman" w:hAnsi="Times New Roman" w:cs="Times New Roman" w:eastAsia="Times New Roman"/>
          <w:b w:val="false"/>
          <w:i w:val="false"/>
          <w:sz w:val="24"/>
        </w:rPr>
        <w:t xml:space="preserve"> </w:t>
      </w:r>
    </w:p>
    <w:p>
      <w:pPr>
        <w:spacing w:before="0" w:after="0" w:lineRule="auto" w:line="240"/>
        <w:jc w:val="both"/>
      </w:pPr>
      <w:r>
        <w:rPr>
          <w:rFonts w:ascii="Times New Roman" w:hAnsi="Times New Roman" w:cs="Times New Roman" w:eastAsia="Times New Roman"/>
          <w:b w:val="false"/>
          <w:i w:val="false"/>
          <w:sz w:val="24"/>
        </w:rPr>
        <w:t>В соответствии с ч. 2 ст.81 Закона Краснодарского края от 26 декабря 2005 г. № 966-КЗ "О муниципальных выборах в Краснодарском крае" и на основании протоколов участковых  избирательных комиссий территориальной избирательной комиссией Выселковская при проведении досрочных выборов главы Новомалороссийского сельского поселения Выселковского муниципального района Краснодарского края избранным признается зарегистрированный кандидат Богатова Анна Константиновна, который на выборах получил 3489 голосов избирателей, что составляет более половины от общего числа голосов  избирателей, отданных за всех включенных в избирательный бюллетень кандидатов</w:t>
      </w:r>
    </w:p>
    <w:p/>
    <w:tbl>
      <w:tblPr>
        <w:tblW w:w="5000" w:type="pct"/>
        <w:jc w:val="center"/>
      </w:tblPr>
      <w:tr>
        <w:trPr>
          <w:cantSplit/>
        </w:trPr>
        <w:tc>
          <w:tcPr>
            <w:tcW w:w="2725" w:type="dxa"/>
            <w:vAlign w:val="bottom"/>
          </w:tcPr>
          <w:p>
            <w:pPr>
              <w:spacing w:before="0" w:after="0" w:lineRule="auto" w:line="240"/>
              <w:jc w:val="left"/>
            </w:pPr>
            <w:r>
              <w:rPr>
                <w:rFonts w:ascii="Times New Roman" w:hAnsi="Times New Roman" w:cs="Times New Roman" w:eastAsia="Times New Roman"/>
                <w:b w:val="true"/>
                <w:i w:val="false"/>
                <w:sz w:val="24"/>
              </w:rPr>
              <w:t>Председатель территориальной избирательной комиссии</w:t>
            </w:r>
          </w:p>
        </w:tc>
        <w:tc>
          <w:tcPr>
            <w:tcW w:w="2835" w:type="dxa"/>
            <w:tcBorders>
              <w:bottom w:val="single"/>
            </w:tcBorders>
            <w:vAlign w:val="bottom"/>
          </w:tcPr>
          <w:p>
            <w:pPr>
              <w:spacing w:before="0" w:after="0" w:lineRule="auto" w:line="240"/>
              <w:ind w:left="100"/>
              <w:jc w:val="left"/>
            </w:pPr>
            <w:r>
              <w:rPr>
                <w:rFonts w:ascii="Times New Roman" w:hAnsi="Times New Roman" w:cs="Times New Roman" w:eastAsia="Times New Roman"/>
                <w:b w:val="false"/>
                <w:i w:val="false"/>
                <w:sz w:val="24"/>
              </w:rPr>
              <w:t xml:space="preserve">Стрижевская Е. В. </w:t>
            </w:r>
          </w:p>
        </w:tc>
        <w:tc>
          <w:tcPr>
            <w:tcW w:w="283" w:type="dxa"/>
          </w:tcPr>
          <w:p>
            <w:pPr>
              <w:spacing w:before="0" w:after="0" w:lineRule="auto" w:line="240"/>
              <w:jc w:val="left"/>
            </w:pPr>
          </w:p>
        </w:tc>
        <w:tc>
          <w:tcPr>
            <w:tcW w:w="3470" w:type="dxa"/>
            <w:tcBorders>
              <w:bottom w:val="single"/>
            </w:tcBorders>
          </w:tcPr>
          <w:p>
            <w:pPr>
              <w:spacing w:before="0" w:after="0" w:lineRule="auto" w:line="240"/>
              <w:jc w:val="left"/>
            </w:pPr>
          </w:p>
        </w:tc>
      </w:tr>
      <w:tr>
        <w:trPr>
          <w:cantSplit/>
        </w:trPr>
        <w:tc>
          <w:tcPr>
            <w:tcW w:w="2725" w:type="dxa"/>
            <w:vAlign w:val="top"/>
          </w:tcPr>
          <w:p>
            <w:pPr>
              <w:spacing w:before="0" w:after="0" w:lineRule="auto" w:line="240"/>
            </w:pPr>
          </w:p>
        </w:tc>
        <w:tc>
          <w:tcPr>
            <w:tcW w:w="2835" w:type="dxa"/>
            <w:vAlign w:val="top"/>
          </w:tcPr>
          <w:p>
            <w:pPr>
              <w:spacing w:before="0" w:after="0" w:lineRule="auto" w:line="240"/>
              <w:jc w:val="center"/>
            </w:pPr>
            <w:r>
              <w:rPr>
                <w:rFonts w:ascii="Times New Roman" w:hAnsi="Times New Roman" w:cs="Times New Roman" w:eastAsia="Times New Roman"/>
                <w:b w:val="false"/>
                <w:i w:val="false"/>
                <w:sz w:val="16"/>
              </w:rPr>
              <w:t>(фамилия, инициалы)</w:t>
            </w:r>
          </w:p>
        </w:tc>
        <w:tc>
          <w:tcPr>
            <w:tcW w:w="283" w:type="dxa"/>
            <w:vAlign w:val="top"/>
          </w:tcPr>
          <w:p>
            <w:pPr>
              <w:spacing w:before="0" w:after="0" w:lineRule="auto" w:line="240"/>
            </w:pPr>
          </w:p>
        </w:tc>
        <w:tc>
          <w:tcPr>
            <w:tcW w:w="3470" w:type="dxa"/>
            <w:vAlign w:val="top"/>
          </w:tcPr>
          <w:p>
            <w:pPr>
              <w:spacing w:before="0" w:after="0" w:lineRule="auto" w:line="240"/>
              <w:jc w:val="center"/>
            </w:pPr>
            <w:r>
              <w:rPr>
                <w:rFonts w:ascii="Times New Roman" w:hAnsi="Times New Roman" w:cs="Times New Roman" w:eastAsia="Times New Roman"/>
                <w:b w:val="false"/>
                <w:i w:val="false"/>
                <w:sz w:val="16"/>
              </w:rPr>
              <w:t>(подпись либо причина отсутствия, отметка</w:t>
              <w:br/>
              <w:t>об особом мнении)</w:t>
            </w: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Заместитель председателя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Безносова Е.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Секретарь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Васильченко Е. Е.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Члены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Белобрицкая С.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Кобзарев А.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Ощепкова Л. О.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Сабиров Д. Р.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Чепок Е. И.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Шабанова О. С. </w:t>
            </w:r>
          </w:p>
        </w:tc>
        <w:tc>
          <w:tcPr>
            <w:tcW w:w="283" w:type="dxa"/>
          </w:tcPr>
          <w:p>
            <w:pPr>
              <w:spacing w:before="0" w:after="0" w:lineRule="auto" w:line="240"/>
            </w:pPr>
          </w:p>
        </w:tc>
        <w:tc>
          <w:tcPr>
            <w:tcW w:w="3470" w:type="dxa"/>
            <w:tcBorders>
              <w:bottom w:val="single"/>
            </w:tcBorders>
          </w:tcPr>
          <w:p>
            <w:pPr>
              <w:spacing w:before="0" w:after="0" w:lineRule="auto" w:line="240"/>
            </w:pPr>
          </w:p>
        </w:tc>
      </w:tr>
    </w:tbl>
    <w:p/>
    <w:p>
      <w:pPr>
        <w:spacing w:before="0" w:after="0" w:lineRule="auto" w:line="240"/>
        <w:jc w:val="center"/>
      </w:pPr>
      <w:r>
        <w:rPr>
          <w:rFonts w:ascii="Times New Roman" w:hAnsi="Times New Roman" w:cs="Times New Roman" w:eastAsia="Times New Roman"/>
          <w:b w:val="true"/>
          <w:i w:val="false"/>
          <w:sz w:val="24"/>
        </w:rPr>
        <w:t xml:space="preserve">          МП          Протокол подписан 21 сентября 2026 года в 7 часов 40 минут</w:t>
      </w:r>
    </w:p>
    <w:sectPr w:rsidR="00F70284" w:rsidSect="00163935">
      <w:pgSz w:w="23811" w:h="16837" w:orient="landscape" w:code="8"/>
      <w:pgMar w:top="566" w:right="850" w:bottom="566" w:left="85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B248E"/>
    <w:rsid w:val="00163935"/>
    <w:rsid w:val="002C6197"/>
    <w:rsid w:val="00831FB8"/>
    <w:rsid w:val="009B248E"/>
    <w:rsid w:val="00F702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eastAsia="Times New Roman" w:hAnsi="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28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2022-09-12T11:35:00Z</dcterms:created>
  <dc:creator>Alexander</dc:creator>
  <cp:lastModifiedBy>Alexander</cp:lastModifiedBy>
  <dcterms:modified xsi:type="dcterms:W3CDTF">2022-09-12T13:39:00Z</dcterms:modified>
  <cp:revision>3</cp:revision>
</cp:coreProperties>
</file>